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719DE2" w14:textId="2A906A03" w:rsidR="00D43016" w:rsidRDefault="00D43016" w:rsidP="00D43016">
      <w:r>
        <w:t>Introdução aos Fundos de Investimentos</w:t>
      </w:r>
    </w:p>
    <w:p w14:paraId="2A9F2FAF" w14:textId="32E23177" w:rsidR="00D43016" w:rsidRDefault="00D43016" w:rsidP="00D43016">
      <w:r>
        <w:t>A definição mais “quadrada” de um Fundo de Investimento é: uma comunhão de recursos sob a forma de condomínio em que os cotistas possuem os mesmos interesses e objetivos ao investir no Mercado Financeiro e de Capitais.</w:t>
      </w:r>
    </w:p>
    <w:p w14:paraId="5287A569" w14:textId="3DD1C0E7" w:rsidR="00D43016" w:rsidRDefault="00D43016" w:rsidP="00D43016">
      <w:r>
        <w:t>Se quisermos falar de um jeito simples poderíamos falar que o Fundo de Investimento é um jeito de juntar o dinheiro de várias pessoas interessadas em investir no Mercado Financeiro e colocar essa grana na mão de um gestor profissional. Em outras palavras, é uma prestação de serviços, onde os investidores são os cotistas e o gestor é quem vai cuidar da aplicação para que os cotistas ganhem dinheiro em cima dela</w:t>
      </w:r>
    </w:p>
    <w:p w14:paraId="42E3F69A" w14:textId="761279A6" w:rsidR="00D43016" w:rsidRDefault="00D43016" w:rsidP="00D43016">
      <w:r>
        <w:t xml:space="preserve">No primeiro parágrafo, eu citei que o fundo opera sob a forma de condomínio, é porque os cotistas, ao aplicarem certo valor em um fundo, compram uma quantidade de cotas e pagam uma taxa de administração ao administrador para que este coordene as tarefas do fundo, entre elas a de gerir seus recursos no mercado. </w:t>
      </w:r>
    </w:p>
    <w:p w14:paraId="2795D47A" w14:textId="2FCBF9D0" w:rsidR="00D43016" w:rsidRDefault="00D43016" w:rsidP="00D43016">
      <w:r>
        <w:t>Ao comprar cotas de um fundo, o cotista está aceitando suas regras de funcionamento (aplicação mínima, prazo de resgate, horários, custos) e passa a ter os mesmos direitos dos demais cotistas, independentemente da quantidade de cotas que cada um possui.</w:t>
      </w:r>
    </w:p>
    <w:p w14:paraId="725F2705" w14:textId="3F3B6559" w:rsidR="00D43016" w:rsidRDefault="00D43016" w:rsidP="00D43016">
      <w:r>
        <w:t xml:space="preserve">Se você lembra do módulo em que tratamos os ativos de Renda Fixa e Renda Variável, vai lembrar que existem diversos títulos de valores mobiliários no mercado. </w:t>
      </w:r>
    </w:p>
    <w:p w14:paraId="1F380EB3" w14:textId="64ABD76E" w:rsidR="00D43016" w:rsidRDefault="00D43016" w:rsidP="00D43016">
      <w:r>
        <w:t xml:space="preserve">Para o investidor comum, ter de escolher entre tantos ativos com tantos emissores diferentes pode não ser uma tarefa muito simples. Eis a primeira vantagem de um Fundo de Investimento: ao investir em um fundo, é o gestor desse fundo quem vai escolher quais ativos comprar para compor a carteira do fundo e, com isso, rentabilizar os recursos dos investidores. </w:t>
      </w:r>
    </w:p>
    <w:p w14:paraId="31FA4186" w14:textId="2F747778" w:rsidR="00D43016" w:rsidRDefault="00D43016" w:rsidP="00D43016">
      <w:r>
        <w:t xml:space="preserve"> Outra vantagem é que, por ser uma comunhão de recursos, o gestor pode acessar produtos de investimentos mais estruturados.</w:t>
      </w:r>
    </w:p>
    <w:p w14:paraId="53BACEF8" w14:textId="22180EA3" w:rsidR="00D43016" w:rsidRDefault="00D43016" w:rsidP="00D43016">
      <w:r>
        <w:t>Uma analogia que gosto de fazer com os Fundos de Investimentos é com a ceia de Natal de sua família. Bom, eu não sei se você comemora o Natal, mas vai entender a dinâmica</w:t>
      </w:r>
    </w:p>
    <w:p w14:paraId="41A6A1F9" w14:textId="0FF6471A" w:rsidR="00D43016" w:rsidRDefault="00D43016" w:rsidP="00D43016">
      <w:r>
        <w:t xml:space="preserve">A cena é a seguinte: </w:t>
      </w:r>
    </w:p>
    <w:p w14:paraId="1C75D4D9" w14:textId="0E2EADBE" w:rsidR="00D43016" w:rsidRDefault="00D43016" w:rsidP="00D43016">
      <w:r>
        <w:t>Estamos a 30 dias do Natal e você precisa preparar a ceia para sua família. Ao consultar sua carteira, percebe que tem R$ 300,00 para esta missão. Com esse valor você vai ao supermercado do seu bairro, escolhe alguns poucos produtos e volta para casa.</w:t>
      </w:r>
    </w:p>
    <w:p w14:paraId="33420FD9" w14:textId="776C3B5F" w:rsidR="00D43016" w:rsidRDefault="00D43016" w:rsidP="00D43016">
      <w:r>
        <w:t>Na noite do dia 23 para o dia 24, você começa a preparar tudo, depois de um dia de trabalho insano, você vai dedicar-se por horas a fio entre a pia, o fogão e a geladeira.</w:t>
      </w:r>
    </w:p>
    <w:p w14:paraId="6719F81C" w14:textId="112C9C13" w:rsidR="00D43016" w:rsidRDefault="00D43016" w:rsidP="00D43016">
      <w:r>
        <w:t xml:space="preserve">Tudo pronto, ceia de Natal pronta, mesa posta, então começam a chegar os familiares. </w:t>
      </w:r>
    </w:p>
    <w:p w14:paraId="214E4412" w14:textId="7F022AB0" w:rsidR="00D43016" w:rsidRDefault="00D43016" w:rsidP="00D43016">
      <w:r>
        <w:t>Só que você não contava com a vinda daquela tia que se casou com um homem que tem 3 filhos e os trouxe para celebrar o Natal. Claro que, com o recurso limitado que você tinha para a festa, a ceia precisou ser controlada e dividida de forma cuidadosa para que todos se alimentassem.</w:t>
      </w:r>
    </w:p>
    <w:p w14:paraId="680B6819" w14:textId="06C2ECC6" w:rsidR="00D43016" w:rsidRDefault="00D43016" w:rsidP="00D43016">
      <w:r>
        <w:t>Para solucionar esse problema de ter pouca grana e ainda ter de trabalhar por horas entre a pia, fogão e geladeira, não seria melhor que você juntasse seus R$ 300,00 com mais R$ 300,00 de cada um dos 30 parentes que virão a sua ceia.</w:t>
      </w:r>
    </w:p>
    <w:p w14:paraId="20F350D1" w14:textId="0F0D27F7" w:rsidR="00D43016" w:rsidRDefault="00D43016" w:rsidP="00D43016">
      <w:r>
        <w:lastRenderedPageBreak/>
        <w:t xml:space="preserve">Assim, o saldo saltaria de R$ 300,00 para R$ 9.000,00. Nada mal, né? Agora, ao invés de ir ao mercado, você escolhe um buffet que vai chegar uma hora antes da ceia e deixar tudo pronto para toda a família. Agora com uma ceia muito mais farta, mais completa e mais simples para você e toda sua família, pois já chegou pronta. </w:t>
      </w:r>
    </w:p>
    <w:p w14:paraId="33EC2259" w14:textId="54EFD00B" w:rsidR="00D43016" w:rsidRDefault="00D43016" w:rsidP="00D43016">
      <w:r>
        <w:t>Certamente a empresa de buffet se esforçou para escolher os melhores produtos que você solicitou.</w:t>
      </w:r>
    </w:p>
    <w:p w14:paraId="4F627E35" w14:textId="66AAF8A1" w:rsidR="00D43016" w:rsidRDefault="00D43016" w:rsidP="00D43016">
      <w:r>
        <w:t xml:space="preserve">Essa analogia, que parece fugir do assunto de Fundos de Investimentos, tem muito mais semelhanças do que aparenta. Vamos a elas: </w:t>
      </w:r>
    </w:p>
    <w:p w14:paraId="140CE38D" w14:textId="288DE585" w:rsidR="00D43016" w:rsidRDefault="00D43016" w:rsidP="00D43016">
      <w:r>
        <w:t>1. No primeiro cenário você, com seus recursos, foi ao mercado comprar os produtos para a ceia. No Mercado Financeiro, seria o mesmo de você usar seu poder de poupança e ter de escolher qual produto vai investir para compor seu patrimônio de ativos</w:t>
      </w:r>
    </w:p>
    <w:p w14:paraId="1B1D5E03" w14:textId="4811261C" w:rsidR="00D43016" w:rsidRDefault="00D43016" w:rsidP="00D43016">
      <w:r>
        <w:t>O ponto é que, devido ao baixo valor de investimento, você tenha de escolher um produto que traga uma menor rentabilidade.</w:t>
      </w:r>
    </w:p>
    <w:p w14:paraId="7E835704" w14:textId="043962BF" w:rsidR="00D43016" w:rsidRDefault="00D43016" w:rsidP="00D43016">
      <w:r>
        <w:t>2. Além de você mesmo ter de escolher o produto, você teria de dedicar tempo para saber quando comprar ou quando vender esse produto para buscar a maior rentabilidade.</w:t>
      </w:r>
    </w:p>
    <w:p w14:paraId="26D0FDAE" w14:textId="54A2CA58" w:rsidR="00D43016" w:rsidRDefault="00D43016" w:rsidP="00D43016">
      <w:r>
        <w:t xml:space="preserve"> 3. No segundo cenário, ao invés de escolher o que comprar com R$ 300,00, você juntou seus recursos com todos os membros de sua família e os entregou para a empresa de buffet. . </w:t>
      </w:r>
    </w:p>
    <w:p w14:paraId="4474C299" w14:textId="1B883D42" w:rsidR="00D43016" w:rsidRDefault="00D43016" w:rsidP="00D43016">
      <w:r>
        <w:t xml:space="preserve"> Isso seria o mesmo que entregar seus recursos para o gestor do fundo que vai escolher o que comprar para compor a carteira do mesmo. Só que estamos falando de um gestor profissional e de um valor maior do que R$ 300,00.</w:t>
      </w:r>
    </w:p>
    <w:p w14:paraId="76088F5D" w14:textId="538E776C" w:rsidR="00D43016" w:rsidRDefault="00D43016" w:rsidP="00D43016">
      <w:r>
        <w:t xml:space="preserve">4. Além disso, a empresa de buffet forneceu os melhores produtos que o cliente solicitou, isso serve para dizer que o gestor do fundo não pode investir seu dinheiro onde ele bem entender. Ele precisa obedecer às regras do fundo (tecnicamente, isso é chamado de regulamento). </w:t>
      </w:r>
    </w:p>
    <w:p w14:paraId="1FD2977D" w14:textId="40FD6167" w:rsidR="00D43016" w:rsidRDefault="00D43016" w:rsidP="00D43016">
      <w:r>
        <w:t>5. O último ponto é que, como você deve imaginar, a empresa de buffet entregou um serviço muito bom para sua família e ainda teve lucro ao prestar esse serviço. Com um Fundo de Investimento é a mesma coisa: o administrador cobra uma taxa de administração pela prestação de serviço.</w:t>
      </w:r>
    </w:p>
    <w:p w14:paraId="24A3DEF1" w14:textId="013FCF62" w:rsidR="0038157B" w:rsidRDefault="00D43016" w:rsidP="00D43016">
      <w:r>
        <w:t>Se você conseguiu entender o conceito de Fundos de Investimentos, será mais fácil entender tudo o que trataremos no decorrer deste módulo.</w:t>
      </w:r>
    </w:p>
    <w:p w14:paraId="0803915C" w14:textId="021A8276" w:rsidR="00D43016" w:rsidRDefault="00D43016" w:rsidP="00D43016">
      <w:r>
        <w:rPr>
          <w:noProof/>
        </w:rPr>
        <w:lastRenderedPageBreak/>
        <w:drawing>
          <wp:inline distT="0" distB="0" distL="0" distR="0" wp14:anchorId="12AE2600" wp14:editId="31ECE537">
            <wp:extent cx="5400040" cy="279019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00040" cy="2790190"/>
                    </a:xfrm>
                    <a:prstGeom prst="rect">
                      <a:avLst/>
                    </a:prstGeom>
                    <a:noFill/>
                    <a:ln>
                      <a:noFill/>
                    </a:ln>
                  </pic:spPr>
                </pic:pic>
              </a:graphicData>
            </a:graphic>
          </wp:inline>
        </w:drawing>
      </w:r>
    </w:p>
    <w:p w14:paraId="791E87BB" w14:textId="40D3492F" w:rsidR="00DB0B91" w:rsidRDefault="00DB0B91" w:rsidP="00DB0B91">
      <w:r>
        <w:t>Tipos de Fundos de Investimento</w:t>
      </w:r>
    </w:p>
    <w:p w14:paraId="6D26CA86" w14:textId="5223C1EC" w:rsidR="00DB0B91" w:rsidRDefault="00DB0B91" w:rsidP="00DB0B91">
      <w:r>
        <w:t xml:space="preserve">Os Fundos de Investimentos, como vimos até aqui, são instrumentos que facilitam o acesso do investidor ao mercado de capitais e, devido a essa facilidade, é natural que diversos tipos de investidores demandem produtos específicos. </w:t>
      </w:r>
    </w:p>
    <w:p w14:paraId="693ACB05" w14:textId="60AFC4F4" w:rsidR="00DB0B91" w:rsidRDefault="00DB0B91" w:rsidP="00DB0B91">
      <w:r>
        <w:t xml:space="preserve">Você deve concordar que um investidor que consegue aportar R$ 500,00 em um Fundo de Investimento possui necessidades diferentes daquele investidor que aporta R$ 1.000.000,00, certo? </w:t>
      </w:r>
    </w:p>
    <w:p w14:paraId="72D4742C" w14:textId="46B9CB0E" w:rsidR="00DB0B91" w:rsidRDefault="00DB0B91" w:rsidP="00DB0B91">
      <w:r>
        <w:t>Justamente por termos as mais variadas demandas de investidores no mercado é que temos, também, os mais variados tipos de Fundos de Investimentos. Então, vamos a eles.</w:t>
      </w:r>
    </w:p>
    <w:p w14:paraId="6438DD05" w14:textId="3B65CDA5" w:rsidR="00DB0B91" w:rsidRDefault="00DB0B91" w:rsidP="00DB0B91">
      <w:r>
        <w:t xml:space="preserve">FI </w:t>
      </w:r>
    </w:p>
    <w:p w14:paraId="0350308F" w14:textId="47FC76C9" w:rsidR="00DB0B91" w:rsidRDefault="00DB0B91" w:rsidP="00DB0B91">
      <w:r>
        <w:t xml:space="preserve">A CVM define Fundo de Investimentos como “uma comunhão de recursos, constituída sob a forma de condomínio, destinada a aplicação em ativos financeiros”. </w:t>
      </w:r>
    </w:p>
    <w:p w14:paraId="26168588" w14:textId="5634F088" w:rsidR="00DB0B91" w:rsidRDefault="00DB0B91" w:rsidP="00DB0B91">
      <w:r>
        <w:t>FIC</w:t>
      </w:r>
    </w:p>
    <w:p w14:paraId="24016A25" w14:textId="4B8EF780" w:rsidR="00DB0B91" w:rsidRDefault="00DB0B91" w:rsidP="00DB0B91">
      <w:r>
        <w:t>Os Fundos de Investimentos podem acessar diretamente o Mercado Financeiro comprando ativos ou comprando cotas de outros fundos.</w:t>
      </w:r>
    </w:p>
    <w:p w14:paraId="0D799C80" w14:textId="2D9C09E9" w:rsidR="00DB0B91" w:rsidRDefault="00DB0B91" w:rsidP="00DB0B91">
      <w:r>
        <w:t>Os FIs (Fundos de Investimentos) irão sempre compor sua carteira comprando ativos no mercado de acordo com seu regulamento. Já os FICs (Fundos de Investimento em Cotas) vão compor sua carteira com, no mínimo, 95% de cotas de outros fundos..</w:t>
      </w:r>
    </w:p>
    <w:p w14:paraId="7518FBDB" w14:textId="30A7BA1F" w:rsidR="00DB0B91" w:rsidRDefault="00DB0B91" w:rsidP="00DB0B91">
      <w:r>
        <w:t xml:space="preserve">Fundos Abertos </w:t>
      </w:r>
    </w:p>
    <w:p w14:paraId="6D317C7C" w14:textId="7E16181B" w:rsidR="00DB0B91" w:rsidRDefault="00DB0B91" w:rsidP="00DB0B91">
      <w:r>
        <w:t xml:space="preserve">Nesse tipo de fundo, como o nome sugere, o investidor pode entrar a qualquer momento. </w:t>
      </w:r>
    </w:p>
    <w:p w14:paraId="6D9E0B5F" w14:textId="6D26A1B2" w:rsidR="00DB0B91" w:rsidRDefault="00DB0B91" w:rsidP="00DB0B91">
      <w:r>
        <w:t>O número de cotas deste fundo é variável. Ou seja, quando o investidor investe seu  dinheiro, novas cotas (no valor do dia) são criadas, e quando o investidor resgatar seu investimento, essas cotas deixam de existir.</w:t>
      </w:r>
    </w:p>
    <w:p w14:paraId="71C35D77" w14:textId="24C18726" w:rsidR="00DB0B91" w:rsidRDefault="00DB0B91" w:rsidP="00DB0B91">
      <w:r>
        <w:lastRenderedPageBreak/>
        <w:t>O Fundo Aberto não possui uma data de vencimento, portanto o investidor não precisa renovar sua aplicação. Isso é considerado vantagem dos Fundos Abertos, pois o cotista pode sacar os recursos a qualquer momento</w:t>
      </w:r>
    </w:p>
    <w:p w14:paraId="78B708C2" w14:textId="2F6A8CC1" w:rsidR="00DB0B91" w:rsidRDefault="00DB0B91" w:rsidP="00DB0B91">
      <w:r>
        <w:t>A recompra das cotas nesse tipo de fundo é garantida pelo administrador. Quando o investidor compra novas cotas, ele gera recursos para que o gestor compre ativos no Mercado Financeiro para compor a carteira do fundo. Ao vender suas cotas, o investidor conta que o gestor venda os ativos no Mercado Financeiro para honrar com os resgates.</w:t>
      </w:r>
    </w:p>
    <w:p w14:paraId="15CD5896" w14:textId="25A69AB0" w:rsidR="00DB0B91" w:rsidRDefault="00DB0B91" w:rsidP="00DB0B91">
      <w:r>
        <w:t>Os Fundos Abertos podem ser com ou sem carência. Em caso de fundo sem carência, o investidor pode “entrar e sair” a qualquer momento, ou, falando de um jeito mais técnico, o investidor pode comprar e vender cotas a qualquer momento. Já o fundo com carência permite a entrada a qualquer momento, porém os resgates são permitidos apenas ao final do prazo de carência</w:t>
      </w:r>
    </w:p>
    <w:p w14:paraId="106C062C" w14:textId="03890BDC" w:rsidR="00DB0B91" w:rsidRDefault="00DB0B91" w:rsidP="00DB0B91">
      <w:r>
        <w:t xml:space="preserve">Fundos Fechados </w:t>
      </w:r>
    </w:p>
    <w:p w14:paraId="706FCAC9" w14:textId="3B98BA0F" w:rsidR="00DB0B91" w:rsidRDefault="00DB0B91" w:rsidP="00DB0B91">
      <w:r>
        <w:t>Ao contrário dos fundos abertos, aqui o investidor não pode entrar ou sair a qualquer momento. O número de cotas nesse fundo é limitada, portanto não é possível o gestor criar cotas quando da aplicação de novos cotistas. Esse tipo de fundo possui data certa para entrada de cotistas (quando da abertura do fundo ao mercado, ou em período de novas captações) e pode ou não ter um vencimento. Se houver vencimento, este fundo faz o resgate compulsório das cotas no respectivo vencimento.</w:t>
      </w:r>
    </w:p>
    <w:p w14:paraId="649D8C55" w14:textId="001E7009" w:rsidR="00DB0B91" w:rsidRDefault="00DB0B91" w:rsidP="00DB0B91">
      <w:r>
        <w:t>A recompra das cotas a qualquer momento não é um benefício desse tipo de fundo. Por isso, se o investidor quiser resgatar suas cotas antes do vencimento do fundo, ele terá de negociar suas cotas com outro investidor no mercado secundário.</w:t>
      </w:r>
    </w:p>
    <w:p w14:paraId="08AEF601" w14:textId="0EA236D6" w:rsidR="00DB0B91" w:rsidRDefault="00DB0B91" w:rsidP="00DB0B91">
      <w:r>
        <w:t>Esse tipo de fundo está muito presente no ambiente de negociação da Bolsa de Valores (B3), o que permite que suas cotas sejam negociadas no mercado secundário com mais facilidade apresentando uma liquidez maior para o detentor das cotas desse fundo.</w:t>
      </w:r>
    </w:p>
    <w:p w14:paraId="5E4D21CD" w14:textId="1A56CA79" w:rsidR="00DB0B91" w:rsidRDefault="00DB0B91" w:rsidP="00DB0B91">
      <w:r>
        <w:t xml:space="preserve">Fundos Abertos com carência </w:t>
      </w:r>
    </w:p>
    <w:p w14:paraId="0F7E7F77" w14:textId="368B555E" w:rsidR="00DB0B91" w:rsidRDefault="00DB0B91" w:rsidP="00DB0B91">
      <w:r>
        <w:t>É estabelecido um prazo mínimo de permanência para que o cotista tenha direito a receber os rendimentos</w:t>
      </w:r>
    </w:p>
    <w:p w14:paraId="4F838DE5" w14:textId="5CF177BC" w:rsidR="00DB0B91" w:rsidRDefault="00DB0B91" w:rsidP="00DB0B91">
      <w:r>
        <w:t>O investidor pode solicitar resgate a qualquer momento, porém nos resgates realizados antes do prazo de carência, o investidor não terá direito a receber os rendimentos do período (para fixar o conceito, lembre-se do saque na poupança fora da data de aniversário)..</w:t>
      </w:r>
    </w:p>
    <w:p w14:paraId="3DB8BB47" w14:textId="6EE1867E" w:rsidR="00DB0B91" w:rsidRDefault="00DB0B91" w:rsidP="00DB0B91">
      <w:r>
        <w:t>Fundos Abertos sem carência</w:t>
      </w:r>
    </w:p>
    <w:p w14:paraId="4BAE9C06" w14:textId="1499E48C" w:rsidR="00DB0B91" w:rsidRDefault="00DB0B91" w:rsidP="00DB0B91">
      <w:r>
        <w:t>O cotista pode pedir resgate a qualquer momento, com direito a rentabilidade auferida no período.</w:t>
      </w:r>
    </w:p>
    <w:p w14:paraId="3412BF01" w14:textId="0E7AB5B7" w:rsidR="00DB0B91" w:rsidRDefault="00DB0B91" w:rsidP="00DB0B91">
      <w:r>
        <w:t xml:space="preserve">Fundos para investidores qualificados e profissionais </w:t>
      </w:r>
    </w:p>
    <w:p w14:paraId="17495669" w14:textId="1D91DF56" w:rsidR="00DB0B91" w:rsidRDefault="00DB0B91" w:rsidP="00DB0B91">
      <w:r>
        <w:t>Como vimos no primeiro módulo de nosso curso, existe um perfil de investidores que, por definição, possuem mais conhecimentos de mercado são os investidores qualificados e profissionais</w:t>
      </w:r>
    </w:p>
    <w:p w14:paraId="460AE728" w14:textId="0031A93B" w:rsidR="00DB0B91" w:rsidRDefault="00DB0B91" w:rsidP="00DB0B91">
      <w:r>
        <w:lastRenderedPageBreak/>
        <w:t>Esse tipo de fundo deve ser destinado exclusivamente para esse tipo de perfil. Em outras palavras, o fundo para investidor qualificado (ou profissional) não pode admitir investidores não qualificados, exceto nos casos abaixo:</w:t>
      </w:r>
    </w:p>
    <w:p w14:paraId="1F23FBF2" w14:textId="0C35FEC0" w:rsidR="00DB0B91" w:rsidRDefault="00DB0B91" w:rsidP="00DB0B91">
      <w:r>
        <w:rPr>
          <w:rFonts w:ascii="Segoe UI Symbol" w:hAnsi="Segoe UI Symbol" w:cs="Segoe UI Symbol"/>
        </w:rPr>
        <w:t>⯀</w:t>
      </w:r>
      <w:r>
        <w:t xml:space="preserve"> empregados ou sócios das instituições administradoras ou gestoras deste fundo ou sociedades a elas ligadas, desde que expressamente autorizados pelo diretor responsável da instituição perante à CVM.</w:t>
      </w:r>
    </w:p>
    <w:p w14:paraId="0E4320C6" w14:textId="548F6E93" w:rsidR="00DB0B91" w:rsidRDefault="00DB0B91" w:rsidP="00DB0B91">
      <w:r>
        <w:t xml:space="preserve">Os fundos destinados a investidores qualificados admitem: </w:t>
      </w:r>
    </w:p>
    <w:p w14:paraId="63B8986B" w14:textId="79D3FCA0" w:rsidR="00DB0B91" w:rsidRDefault="00DB0B91" w:rsidP="00DB0B91">
      <w:r>
        <w:rPr>
          <w:rFonts w:ascii="Segoe UI Symbol" w:hAnsi="Segoe UI Symbol" w:cs="Segoe UI Symbol"/>
        </w:rPr>
        <w:t>⯀</w:t>
      </w:r>
      <w:r>
        <w:t xml:space="preserve"> a utilização de ativos financeiros na integralização e resgate de cotas, com o estabelecimento de critérios detalhados e precisos para adoção desses procedimentos; </w:t>
      </w:r>
    </w:p>
    <w:p w14:paraId="3DBDA2BC" w14:textId="1D12EB27" w:rsidR="00DB0B91" w:rsidRDefault="00DB0B91" w:rsidP="00DB0B91">
      <w:r>
        <w:rPr>
          <w:rFonts w:ascii="Segoe UI Symbol" w:hAnsi="Segoe UI Symbol" w:cs="Segoe UI Symbol"/>
        </w:rPr>
        <w:t>⯀</w:t>
      </w:r>
      <w:r>
        <w:t xml:space="preserve"> dispensam, na distribuição de cotas de fundos fechados, a elaboração de prospecto e a publicação de anúncio de início e de encerramento de distribuição;</w:t>
      </w:r>
    </w:p>
    <w:p w14:paraId="65C08E63" w14:textId="705C3966" w:rsidR="00DB0B91" w:rsidRDefault="00DB0B91" w:rsidP="00DB0B91">
      <w:r>
        <w:t xml:space="preserve"> </w:t>
      </w:r>
      <w:r>
        <w:rPr>
          <w:rFonts w:ascii="Segoe UI Symbol" w:hAnsi="Segoe UI Symbol" w:cs="Segoe UI Symbol"/>
        </w:rPr>
        <w:t>⯀</w:t>
      </w:r>
      <w:r>
        <w:t xml:space="preserve"> cobrar taxas de administração e de performance, conforme estabelecido em seu regulamento; </w:t>
      </w:r>
    </w:p>
    <w:p w14:paraId="1475453F" w14:textId="4A1A5C85" w:rsidR="00DB0B91" w:rsidRDefault="00DB0B91" w:rsidP="00DB0B91">
      <w:r>
        <w:rPr>
          <w:rFonts w:ascii="Segoe UI Symbol" w:hAnsi="Segoe UI Symbol" w:cs="Segoe UI Symbol"/>
        </w:rPr>
        <w:t>⯀</w:t>
      </w:r>
      <w:r>
        <w:t xml:space="preserve"> estabelecer prazos para conversão de cota e para pagamento dos resgates diferentes maiores de D+5 (mais detalhes sobre esse tema iremos avaliar adiante, quando tratarmos de dinâmicas de aplicação e resgates); </w:t>
      </w:r>
    </w:p>
    <w:p w14:paraId="5A1A871D" w14:textId="0CFFBDA0" w:rsidR="00DB0B91" w:rsidRDefault="00DB0B91" w:rsidP="00DB0B91">
      <w:r>
        <w:rPr>
          <w:rFonts w:ascii="Segoe UI Symbol" w:hAnsi="Segoe UI Symbol" w:cs="Segoe UI Symbol"/>
        </w:rPr>
        <w:t>⯀</w:t>
      </w:r>
      <w:r>
        <w:t xml:space="preserve"> prestar fiança, aval, aceite ou coobrigar-se de qualquer outra forma, em nome do fundo, relativamente a operações direta ou indiretamente relacionadas à carteira do fundo, sendo necessária a concordância de cotistas representando, no mínimo, dois terços das cotas emitidas pelo fundo.</w:t>
      </w:r>
    </w:p>
    <w:p w14:paraId="0A7666DD" w14:textId="19AC95E9" w:rsidR="00DB0B91" w:rsidRDefault="00DB0B91" w:rsidP="00DB0B91">
      <w:r>
        <w:t>Os fundos destinados a investidores profissionais são bem semelhantes aos fundos destinados a investidores qualificados, diferenciando-se apenas no tipo de investidor que admite. Além dos investidores profissionais, esse fundo pode admitir:</w:t>
      </w:r>
    </w:p>
    <w:p w14:paraId="0080DFE1" w14:textId="78957B6A" w:rsidR="00DB0B91" w:rsidRDefault="00DB0B91" w:rsidP="00DB0B91">
      <w:r>
        <w:rPr>
          <w:rFonts w:ascii="Segoe UI Symbol" w:hAnsi="Segoe UI Symbol" w:cs="Segoe UI Symbol"/>
        </w:rPr>
        <w:t>⯀</w:t>
      </w:r>
      <w:r>
        <w:t xml:space="preserve"> os empregados ou sócios das instituições administradoras ou gestoras deste fundo ou empresas a ela ligadas, desde que expressamente autorizados pelo diretor responsável da instituição perante à CVM; </w:t>
      </w:r>
    </w:p>
    <w:p w14:paraId="4B0A759E" w14:textId="7D31BFBC" w:rsidR="00DB0B91" w:rsidRDefault="00DB0B91" w:rsidP="00DB0B91">
      <w:r>
        <w:rPr>
          <w:rFonts w:ascii="Segoe UI Symbol" w:hAnsi="Segoe UI Symbol" w:cs="Segoe UI Symbol"/>
        </w:rPr>
        <w:t>⯀</w:t>
      </w:r>
      <w:r>
        <w:t xml:space="preserve"> investidores relacionados a investidor profissional por vínculo familiar ou vínculo societário familiar, desde que no mínimo 90% (noventa por cento) das cotas do fundo em que se pretenda ingressar sejam detidas por tais investidores. </w:t>
      </w:r>
    </w:p>
    <w:p w14:paraId="4E0BA6C2" w14:textId="04AB70BC" w:rsidR="00D43016" w:rsidRDefault="00DB0B91" w:rsidP="00DB0B91">
      <w:r>
        <w:t>O fundo criado para receber apenas um cotista, no caso deste ser um investidor profissional, é considerado fundo exclusivo.</w:t>
      </w:r>
    </w:p>
    <w:p w14:paraId="40109BE9" w14:textId="6AD804A8" w:rsidR="00DB0B91" w:rsidRDefault="00DB0B91" w:rsidP="00DB0B91">
      <w:r>
        <w:rPr>
          <w:noProof/>
        </w:rPr>
        <w:lastRenderedPageBreak/>
        <w:drawing>
          <wp:inline distT="0" distB="0" distL="0" distR="0" wp14:anchorId="1370E25E" wp14:editId="2F7AC0F2">
            <wp:extent cx="5400040" cy="343789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3437890"/>
                    </a:xfrm>
                    <a:prstGeom prst="rect">
                      <a:avLst/>
                    </a:prstGeom>
                    <a:noFill/>
                    <a:ln>
                      <a:noFill/>
                    </a:ln>
                  </pic:spPr>
                </pic:pic>
              </a:graphicData>
            </a:graphic>
          </wp:inline>
        </w:drawing>
      </w:r>
    </w:p>
    <w:p w14:paraId="52D08463" w14:textId="591E10CD" w:rsidR="0045018F" w:rsidRDefault="0045018F" w:rsidP="0045018F">
      <w:r>
        <w:t>Registro dos Fundos de Investimento</w:t>
      </w:r>
    </w:p>
    <w:p w14:paraId="04571C64" w14:textId="3AD0035E" w:rsidR="0045018F" w:rsidRDefault="0045018F" w:rsidP="0045018F">
      <w:r>
        <w:t>Antes de entrarmos detalhadamente no assunto de fundos, precisamos saber que o Fundo de Investimento, embora seja administrado por uma Instituição Financeira, não é, ele próprio, uma Instituição Financeira</w:t>
      </w:r>
    </w:p>
    <w:p w14:paraId="2AD55010" w14:textId="1C99293E" w:rsidR="0045018F" w:rsidRDefault="0045018F" w:rsidP="0045018F">
      <w:r>
        <w:t xml:space="preserve">Confuso? Deixe-me simplificar as coisas. </w:t>
      </w:r>
    </w:p>
    <w:p w14:paraId="7F145CAA" w14:textId="1B03E726" w:rsidR="0045018F" w:rsidRDefault="0045018F" w:rsidP="0045018F">
      <w:r>
        <w:t xml:space="preserve">Imagine que você escolheu investir em um fundo que é administrado pelo Banco do Brasil. Esse fundo tem um CNPJ próprio e não será o mesmo CNPJ do Banco do Brasil. </w:t>
      </w:r>
    </w:p>
    <w:p w14:paraId="233D46C5" w14:textId="7413146F" w:rsidR="0045018F" w:rsidRDefault="0045018F" w:rsidP="0045018F">
      <w:r>
        <w:t>O BB é somente o administrador deste fundo. Em outras palavras, ele é responsável por conduzir o fundo e isso não deve ser confundido com investir o dinheiro no Banco do Brasil, ele apenas presta um serviço.</w:t>
      </w:r>
    </w:p>
    <w:p w14:paraId="604EBB09" w14:textId="09FAC2E2" w:rsidR="0045018F" w:rsidRDefault="0045018F" w:rsidP="0045018F">
      <w:r>
        <w:t>Fiz essa observação para deixar claro uma coisa aqui: um Fundo de Investimento possui CNPJ próprio e, como qualquer outra empresa, terá um administrador. O administrador do fundo é o responsável legal do fundo perante os investidores e perante os órgãos reguladores.</w:t>
      </w:r>
    </w:p>
    <w:p w14:paraId="51689E3E" w14:textId="7FC751C7" w:rsidR="0045018F" w:rsidRDefault="0045018F" w:rsidP="0045018F">
      <w:r>
        <w:t>Para que um Fundo de Investimento chegue ao mercado é necessário que seja feito um registro e, como você deve imaginar, esse registro será feito pelo administrador do fundo. regulamento do fundo</w:t>
      </w:r>
    </w:p>
    <w:p w14:paraId="455362F1" w14:textId="12A2C8B7" w:rsidR="0045018F" w:rsidRDefault="0045018F" w:rsidP="0045018F">
      <w:r>
        <w:t xml:space="preserve">Ele deve ser feito junto à CVM com os seguintes documentos e informações: </w:t>
      </w:r>
    </w:p>
    <w:p w14:paraId="59D7D83A" w14:textId="0B3530EE" w:rsidR="0045018F" w:rsidRDefault="0045018F" w:rsidP="0045018F">
      <w:r>
        <w:rPr>
          <w:rFonts w:ascii="Segoe UI Symbol" w:hAnsi="Segoe UI Symbol" w:cs="Segoe UI Symbol"/>
        </w:rPr>
        <w:t>⯀</w:t>
      </w:r>
      <w:r>
        <w:t xml:space="preserve"> regulamento do fundo; </w:t>
      </w:r>
    </w:p>
    <w:p w14:paraId="32F664BB" w14:textId="081AE7A4" w:rsidR="0045018F" w:rsidRDefault="0045018F" w:rsidP="0045018F">
      <w:r>
        <w:rPr>
          <w:rFonts w:ascii="Segoe UI Symbol" w:hAnsi="Segoe UI Symbol" w:cs="Segoe UI Symbol"/>
        </w:rPr>
        <w:t>⯀</w:t>
      </w:r>
      <w:r>
        <w:t xml:space="preserve"> dados relativos ao registro do regulamento em cartório de títulos e documentos; </w:t>
      </w:r>
    </w:p>
    <w:p w14:paraId="0DD3EDBB" w14:textId="02C2D967" w:rsidR="0045018F" w:rsidRDefault="0045018F" w:rsidP="0045018F">
      <w:r>
        <w:rPr>
          <w:rFonts w:ascii="Segoe UI Symbol" w:hAnsi="Segoe UI Symbol" w:cs="Segoe UI Symbol"/>
        </w:rPr>
        <w:t>⯀</w:t>
      </w:r>
      <w:r>
        <w:t xml:space="preserve"> formulário de informações complementares, exceto para fundos destinados a investidores qualificados;</w:t>
      </w:r>
    </w:p>
    <w:p w14:paraId="29964DFD" w14:textId="02C9620A" w:rsidR="0045018F" w:rsidRDefault="0045018F" w:rsidP="0045018F">
      <w:r>
        <w:lastRenderedPageBreak/>
        <w:t xml:space="preserve"> </w:t>
      </w:r>
      <w:r>
        <w:rPr>
          <w:rFonts w:ascii="Segoe UI Symbol" w:hAnsi="Segoe UI Symbol" w:cs="Segoe UI Symbol"/>
        </w:rPr>
        <w:t>⯀</w:t>
      </w:r>
      <w:r>
        <w:t xml:space="preserve"> declaração do administrador do fundo de que firmou os contratos com terceiros para prestação de serviços junto ao fundo, quando for o caso;</w:t>
      </w:r>
    </w:p>
    <w:p w14:paraId="15652F10" w14:textId="72AD70B2" w:rsidR="0045018F" w:rsidRDefault="0045018F" w:rsidP="0045018F">
      <w:r>
        <w:t xml:space="preserve"> </w:t>
      </w:r>
      <w:r>
        <w:rPr>
          <w:rFonts w:ascii="Segoe UI Symbol" w:hAnsi="Segoe UI Symbol" w:cs="Segoe UI Symbol"/>
        </w:rPr>
        <w:t>⯀</w:t>
      </w:r>
      <w:r>
        <w:t xml:space="preserve"> nome do auditor independente; </w:t>
      </w:r>
    </w:p>
    <w:p w14:paraId="4234B91A" w14:textId="5D71D2B6" w:rsidR="0045018F" w:rsidRDefault="0045018F" w:rsidP="0045018F">
      <w:r>
        <w:rPr>
          <w:rFonts w:ascii="Segoe UI Symbol" w:hAnsi="Segoe UI Symbol" w:cs="Segoe UI Symbol"/>
        </w:rPr>
        <w:t>⯀</w:t>
      </w:r>
      <w:r>
        <w:t xml:space="preserve"> inscrição do fundo no CNPJ; </w:t>
      </w:r>
    </w:p>
    <w:p w14:paraId="5AE62D2C" w14:textId="70EA0940" w:rsidR="0045018F" w:rsidRDefault="0045018F" w:rsidP="0045018F">
      <w:r>
        <w:rPr>
          <w:rFonts w:ascii="Segoe UI Symbol" w:hAnsi="Segoe UI Symbol" w:cs="Segoe UI Symbol"/>
        </w:rPr>
        <w:t>⯀</w:t>
      </w:r>
      <w:r>
        <w:t xml:space="preserve"> formulário padronizado com as informações básicas do fundo, conforme modelo disponível na página da CVM na rede mundial de computadores, devidamente preenchido; </w:t>
      </w:r>
    </w:p>
    <w:p w14:paraId="397E1E14" w14:textId="46561ED7" w:rsidR="0045018F" w:rsidRDefault="0045018F" w:rsidP="0045018F">
      <w:r>
        <w:rPr>
          <w:rFonts w:ascii="Segoe UI Symbol" w:hAnsi="Segoe UI Symbol" w:cs="Segoe UI Symbol"/>
        </w:rPr>
        <w:t>⯀</w:t>
      </w:r>
      <w:r>
        <w:t xml:space="preserve"> lâmina elaborada de acordo com a legislação, no caso de fundo aberto que não seja destinado exclusivamente a investidores qualificados.</w:t>
      </w:r>
    </w:p>
    <w:p w14:paraId="69D89BA3" w14:textId="1BFE0CEE" w:rsidR="0045018F" w:rsidRDefault="0045018F" w:rsidP="0045018F">
      <w:r>
        <w:t>Documentos dos Fundos</w:t>
      </w:r>
    </w:p>
    <w:p w14:paraId="2DC9448C" w14:textId="268D763F" w:rsidR="0045018F" w:rsidRDefault="0045018F" w:rsidP="0045018F">
      <w:r>
        <w:t>Os Fundos de Investimentos precisam de um padrão para divulgar as informações ao mercado. Desta maneira, os investidores que desejam ter acesso ao Fundo de Investimento devem conhecer os riscos, objetivos e política de investimento de cada fundo e, para isso, terão acesso aos documentos citados abaixo:</w:t>
      </w:r>
    </w:p>
    <w:p w14:paraId="419FD2A6" w14:textId="3B96E2F4" w:rsidR="0045018F" w:rsidRDefault="0045018F" w:rsidP="0045018F">
      <w:r>
        <w:rPr>
          <w:rFonts w:ascii="Segoe UI Symbol" w:hAnsi="Segoe UI Symbol" w:cs="Segoe UI Symbol"/>
        </w:rPr>
        <w:t>⯀</w:t>
      </w:r>
      <w:r>
        <w:t xml:space="preserve"> Regulamento: documento que estabelece as regras de funcionamento e operacionalização de um Fundo de Investimento, segundo legislação vigente. O regulamento deve dispor sobre a taxa de administração, que remunerará todos os serviços do fundo, podendo haver remuneração baseada no resultado do fundo (taxa de performance que falaremos mais adiante), bem como taxa de ingresso e saída; </w:t>
      </w:r>
    </w:p>
    <w:p w14:paraId="438155C5" w14:textId="17308624" w:rsidR="0045018F" w:rsidRDefault="0045018F" w:rsidP="0045018F">
      <w:r>
        <w:rPr>
          <w:rFonts w:ascii="Segoe UI Symbol" w:hAnsi="Segoe UI Symbol" w:cs="Segoe UI Symbol"/>
        </w:rPr>
        <w:t>⯀</w:t>
      </w:r>
      <w:r>
        <w:t xml:space="preserve"> Lâmina de informações essenciais: a lâmina do fundo reúne, de maneira concisa, em uma única página, as principais características operacionais da aplicação, além dos principais indicadores de desempenho da carteira. No documento você encontra o resumo dos objetivos e da política de investimento, os horários de aplicação e resgate, os valores de mínimos de movimentação e as taxas de administração e performance, além do nível de risco do fundo obedecendo a uma escala de 1 a 5, onde 1 é um fundo conservador e 5 um fundo com maior risco; </w:t>
      </w:r>
    </w:p>
    <w:p w14:paraId="2A12F106" w14:textId="34A0C84A" w:rsidR="0045018F" w:rsidRDefault="0045018F" w:rsidP="0045018F">
      <w:r>
        <w:rPr>
          <w:rFonts w:ascii="Segoe UI Symbol" w:hAnsi="Segoe UI Symbol" w:cs="Segoe UI Symbol"/>
        </w:rPr>
        <w:t>⯀</w:t>
      </w:r>
      <w:r>
        <w:t xml:space="preserve"> Formulário de informações complementares: esse documento, como o nome sugere, pode ser um complemento às informações que estão contidas na lâmina. Na lâmina, o investidor tem acesso às informações necessárias para tomar a decisão de investir ou não no fundo. No formulário, o fundo divulga informações mais técnicas sobre o produto, como a política de gestão do risco; </w:t>
      </w:r>
    </w:p>
    <w:p w14:paraId="4CFC8EA0" w14:textId="73B9A94C" w:rsidR="0045018F" w:rsidRDefault="0045018F" w:rsidP="0045018F">
      <w:r>
        <w:rPr>
          <w:rFonts w:ascii="Segoe UI Symbol" w:hAnsi="Segoe UI Symbol" w:cs="Segoe UI Symbol"/>
        </w:rPr>
        <w:t>⯀</w:t>
      </w:r>
      <w:r>
        <w:t xml:space="preserve"> Termo de Adesão: documento que o investidor assina (mesmo que eletronicamente) dando sua ciência sobre aderir ao fundo. Se o investidor assinar uma vez o termo de adesão de um fundo, será necessário assinar novamente se, e somente se, houver alteração no regulamento.</w:t>
      </w:r>
    </w:p>
    <w:p w14:paraId="7C3799AA" w14:textId="717778A3" w:rsidR="00DB0B91" w:rsidRDefault="0045018F" w:rsidP="0045018F">
      <w:r>
        <w:t>Todos os documentos do Fundo de Investimento devem ser elaborados pelo administrador e entregues ao investidor antes de sua primeira aplicação.</w:t>
      </w:r>
    </w:p>
    <w:p w14:paraId="0F5C0233" w14:textId="2A20AD9E" w:rsidR="0045018F" w:rsidRDefault="0045018F" w:rsidP="0045018F">
      <w:r>
        <w:rPr>
          <w:noProof/>
        </w:rPr>
        <w:lastRenderedPageBreak/>
        <w:drawing>
          <wp:inline distT="0" distB="0" distL="0" distR="0" wp14:anchorId="2796E3E6" wp14:editId="3FF783A2">
            <wp:extent cx="5400040" cy="282829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2828290"/>
                    </a:xfrm>
                    <a:prstGeom prst="rect">
                      <a:avLst/>
                    </a:prstGeom>
                    <a:noFill/>
                    <a:ln>
                      <a:noFill/>
                    </a:ln>
                  </pic:spPr>
                </pic:pic>
              </a:graphicData>
            </a:graphic>
          </wp:inline>
        </w:drawing>
      </w:r>
    </w:p>
    <w:p w14:paraId="55AD9CA3" w14:textId="0766B66A" w:rsidR="002B49F2" w:rsidRDefault="002B49F2" w:rsidP="002B49F2">
      <w:r>
        <w:t>COMO OCORRE A COMUNICAÇÃO COM O COTISTA?</w:t>
      </w:r>
    </w:p>
    <w:p w14:paraId="55969225" w14:textId="7BFBD6A7" w:rsidR="002B49F2" w:rsidRDefault="002B49F2" w:rsidP="002B49F2">
      <w:r>
        <w:t>Pode ser tanto pelo meio físico quanto pela via online.</w:t>
      </w:r>
    </w:p>
    <w:p w14:paraId="789008A6" w14:textId="0A70C0BA" w:rsidR="002B49F2" w:rsidRDefault="002B49F2" w:rsidP="002B49F2">
      <w:r>
        <w:t>Mas vocês acreditam que em pleno ano de 2021, a CVM ainda estabelece que os documentos listados abaixo sejam encaminhados de maneira física?! Apenas em alguns casos são disponibilizados de forma eletrônica.</w:t>
      </w:r>
    </w:p>
    <w:p w14:paraId="0CE1E342" w14:textId="229E463C" w:rsidR="002B49F2" w:rsidRDefault="002B49F2" w:rsidP="002B49F2">
      <w:r>
        <w:t>Esses documentos podem ser sobre:</w:t>
      </w:r>
    </w:p>
    <w:p w14:paraId="0B2DEFA3" w14:textId="2CF93B26" w:rsidR="002B49F2" w:rsidRDefault="002B49F2" w:rsidP="002B49F2">
      <w:r>
        <w:t>○ Comunicação;</w:t>
      </w:r>
    </w:p>
    <w:p w14:paraId="7AE20ABD" w14:textId="705EE1FD" w:rsidR="002B49F2" w:rsidRDefault="002B49F2" w:rsidP="002B49F2">
      <w:r>
        <w:t xml:space="preserve"> ○ Acesso;</w:t>
      </w:r>
    </w:p>
    <w:p w14:paraId="6CDFA38C" w14:textId="0310A82A" w:rsidR="002B49F2" w:rsidRDefault="002B49F2" w:rsidP="002B49F2">
      <w:r>
        <w:t>○ Envio;</w:t>
      </w:r>
    </w:p>
    <w:p w14:paraId="35F07DA0" w14:textId="31101379" w:rsidR="002B49F2" w:rsidRDefault="002B49F2" w:rsidP="002B49F2">
      <w:r>
        <w:t>○ Divulgação;</w:t>
      </w:r>
    </w:p>
    <w:p w14:paraId="181F3FFC" w14:textId="50C7D5FC" w:rsidR="002B49F2" w:rsidRDefault="002B49F2" w:rsidP="002B49F2">
      <w:r>
        <w:t>○ Disponibilização</w:t>
      </w:r>
    </w:p>
    <w:p w14:paraId="42B13E5F" w14:textId="1D690AE7" w:rsidR="0045018F" w:rsidRDefault="002B49F2" w:rsidP="002B49F2">
      <w:r>
        <w:t>Geralmente a CVM irá solicitar a concordância ou ciência do cotista de forma eletrônica mesmo para quem solicitou o envio da documentação por meio físico. Ainda, os custos de envio serão do fundo ou do cotista que solicitou, podendo influenciar no valor da própria cota do fundo.</w:t>
      </w:r>
    </w:p>
    <w:p w14:paraId="61D3F80A" w14:textId="703EF7E0" w:rsidR="002B49F2" w:rsidRDefault="002B49F2" w:rsidP="002B49F2">
      <w:r>
        <w:rPr>
          <w:noProof/>
        </w:rPr>
        <w:lastRenderedPageBreak/>
        <w:drawing>
          <wp:inline distT="0" distB="0" distL="0" distR="0" wp14:anchorId="5A5B246C" wp14:editId="5F8BE61E">
            <wp:extent cx="5391150" cy="249555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1150" cy="2495550"/>
                    </a:xfrm>
                    <a:prstGeom prst="rect">
                      <a:avLst/>
                    </a:prstGeom>
                    <a:noFill/>
                    <a:ln>
                      <a:noFill/>
                    </a:ln>
                  </pic:spPr>
                </pic:pic>
              </a:graphicData>
            </a:graphic>
          </wp:inline>
        </w:drawing>
      </w:r>
    </w:p>
    <w:p w14:paraId="3AB836D9" w14:textId="3CD18927" w:rsidR="002B49F2" w:rsidRDefault="00BA72A2" w:rsidP="002B49F2">
      <w:r w:rsidRPr="00BA72A2">
        <w:t>Propriedade dos Fundos de Investimento | Cota | Cessão e Transferência de Cotas</w:t>
      </w:r>
    </w:p>
    <w:p w14:paraId="058A6C39" w14:textId="619F88DA" w:rsidR="00BA72A2" w:rsidRDefault="00BA72A2" w:rsidP="00BA72A2">
      <w:r>
        <w:t>Cotas e Propriedades dos Fundos de Investimento</w:t>
      </w:r>
    </w:p>
    <w:p w14:paraId="372DFCF9" w14:textId="40520DDA" w:rsidR="00BA72A2" w:rsidRDefault="00BA72A2" w:rsidP="00BA72A2">
      <w:r>
        <w:t xml:space="preserve">Como vimos, o investidor, ao colocar dinheiro no fundo, contrata uma prestação de serviço. O gestor vai comprar ativos para compor a carteira do fundo, logo, esses ativos são de propriedade do fundo, mas a propriedade do fundo pertence aos cotistas. </w:t>
      </w:r>
    </w:p>
    <w:p w14:paraId="3794E037" w14:textId="18B7E381" w:rsidR="00BA72A2" w:rsidRDefault="00BA72A2" w:rsidP="00BA72A2">
      <w:r>
        <w:t>Vale lembrar que o patrimônio do fundo não se mistura com o patrimônio de seus prestadores de serviços. Todos os ativos que compõem a carteira de um Fundo de Investimento pertencem ao fundo e, portanto, aos cotistas do fundo. Lucros e perdas são distribuídos igualmente entre os cotistas na valorização (ou desvalorização) da cota. E por falar em cota, vamos entender esse tema agora.</w:t>
      </w:r>
    </w:p>
    <w:p w14:paraId="3EFC968D" w14:textId="1F3A400D" w:rsidR="00BA72A2" w:rsidRDefault="00BA72A2" w:rsidP="00BA72A2">
      <w:r>
        <w:t xml:space="preserve">Patrimônio Líquido </w:t>
      </w:r>
    </w:p>
    <w:p w14:paraId="58690720" w14:textId="3B3945DF" w:rsidR="00BA72A2" w:rsidRDefault="00BA72A2" w:rsidP="00BA72A2">
      <w:r>
        <w:t>Patrimônio Líquido do fundo ( PL) é calculado a partir da soma dos ativos da carteira do fundo, marcado a mercado, mais valores a receber, menos despesas (taxa de administração, taxa de performance - se houver - e outras despesas autorizadas)</w:t>
      </w:r>
    </w:p>
    <w:p w14:paraId="3D538F25" w14:textId="55295DB6" w:rsidR="00BA72A2" w:rsidRDefault="00BA72A2" w:rsidP="00BA72A2">
      <w:r>
        <w:t>Cota</w:t>
      </w:r>
    </w:p>
    <w:p w14:paraId="49A746BF" w14:textId="77777777" w:rsidR="00BA72A2" w:rsidRDefault="00BA72A2" w:rsidP="00BA72A2">
      <w:r>
        <w:t>As cotas do fundo são a cereja deste grande bolo. Elas correspondem a frações ideais de seu patrimônio e sempre são escriturais e nominativas. Quando dizemos que as cotas são escriturais, estou dizendo que, ao comprar uma cota do fundo, o investidor não leva a cota fisicamente para casa, mas tem suas informações lógicas em um sistema de dados.</w:t>
      </w:r>
    </w:p>
    <w:p w14:paraId="3151F217" w14:textId="77777777" w:rsidR="00BA72A2" w:rsidRDefault="00BA72A2" w:rsidP="00BA72A2"/>
    <w:p w14:paraId="2300E590" w14:textId="3C568B9D" w:rsidR="00BA72A2" w:rsidRDefault="00BA72A2" w:rsidP="00BA72A2">
      <w:r>
        <w:t>Se você está lendo essa apostila em seu computador (não a imprimiu), você possui a apostila, mas ela é escritural, não física. E quando digo nominal, é que essas cotas devem, obrigatoriamente, ser registradas em nome do cotista.</w:t>
      </w:r>
    </w:p>
    <w:p w14:paraId="0D94678F" w14:textId="40E56B6A" w:rsidR="00BA72A2" w:rsidRDefault="00BA72A2" w:rsidP="00BA72A2">
      <w:r>
        <w:t>Quando o investidor investe em um Fundo de Investimento, na prática ele compra cotas desse fundo. A quantidade de cotas que o investidor tem será sempre a mesma, a não ser que:</w:t>
      </w:r>
    </w:p>
    <w:p w14:paraId="1894934F" w14:textId="69962A66" w:rsidR="00BA72A2" w:rsidRDefault="00BA72A2" w:rsidP="00BA72A2">
      <w:r>
        <w:rPr>
          <w:rFonts w:ascii="Segoe UI Symbol" w:hAnsi="Segoe UI Symbol" w:cs="Segoe UI Symbol"/>
        </w:rPr>
        <w:t>⯀</w:t>
      </w:r>
      <w:r>
        <w:t xml:space="preserve"> o investidor faça resgates em seu fundo de investimento; </w:t>
      </w:r>
    </w:p>
    <w:p w14:paraId="436E4896" w14:textId="0B72B61C" w:rsidR="00BA72A2" w:rsidRDefault="00BA72A2" w:rsidP="00BA72A2">
      <w:r>
        <w:rPr>
          <w:rFonts w:ascii="Segoe UI Symbol" w:hAnsi="Segoe UI Symbol" w:cs="Segoe UI Symbol"/>
        </w:rPr>
        <w:t>⯀</w:t>
      </w:r>
      <w:r>
        <w:t xml:space="preserve"> o investidor faça novas aplicações no fundo; </w:t>
      </w:r>
    </w:p>
    <w:p w14:paraId="4A3C9984" w14:textId="4AC102D3" w:rsidR="00BA72A2" w:rsidRDefault="00BA72A2" w:rsidP="00BA72A2">
      <w:r>
        <w:rPr>
          <w:rFonts w:ascii="Segoe UI Symbol" w:hAnsi="Segoe UI Symbol" w:cs="Segoe UI Symbol"/>
        </w:rPr>
        <w:lastRenderedPageBreak/>
        <w:t>⯀</w:t>
      </w:r>
      <w:r>
        <w:t xml:space="preserve"> haja a antecipação de IR semestral (come cotas, que detalharei mais adiante).</w:t>
      </w:r>
    </w:p>
    <w:p w14:paraId="4D877655" w14:textId="26EA4B4C" w:rsidR="00BA72A2" w:rsidRDefault="00BA72A2" w:rsidP="00BA72A2">
      <w:r>
        <w:t>O que se espera ao investir em um Fundo de Investimento é que as cotas desse fundo valorizam ao longo do tempo. Como qualquer investimento, precisamos saber o preço que pagamos ao investir e o preço que vendemos ao resgatar os recursos investidos no fundo. Desta maneira, o administrador tem de calcular diariamente o valor da cota e suas variações do fundo. Para isso, ele utiliza a seguinte fórmula:</w:t>
      </w:r>
    </w:p>
    <w:p w14:paraId="05577A0E" w14:textId="5E4F7C09" w:rsidR="00BA72A2" w:rsidRDefault="00BA72A2" w:rsidP="00BA72A2">
      <w:r>
        <w:rPr>
          <w:noProof/>
        </w:rPr>
        <w:drawing>
          <wp:inline distT="0" distB="0" distL="0" distR="0" wp14:anchorId="1AA584A2" wp14:editId="335A3730">
            <wp:extent cx="4105275" cy="762000"/>
            <wp:effectExtent l="0" t="0" r="952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05275" cy="762000"/>
                    </a:xfrm>
                    <a:prstGeom prst="rect">
                      <a:avLst/>
                    </a:prstGeom>
                    <a:noFill/>
                    <a:ln>
                      <a:noFill/>
                    </a:ln>
                  </pic:spPr>
                </pic:pic>
              </a:graphicData>
            </a:graphic>
          </wp:inline>
        </w:drawing>
      </w:r>
    </w:p>
    <w:p w14:paraId="2C64A626" w14:textId="79B2FA62" w:rsidR="00BA72A2" w:rsidRDefault="00BA72A2" w:rsidP="00BA72A2">
      <w:r>
        <w:t xml:space="preserve">Cessão e transferência de cotas </w:t>
      </w:r>
    </w:p>
    <w:p w14:paraId="373FCD55" w14:textId="623C8CE4" w:rsidR="00BA72A2" w:rsidRDefault="00BA72A2" w:rsidP="00BA72A2">
      <w:r>
        <w:t>Como vimos, ao investir em um Fundo de Investimento, o investidor compra cotas de um fundo. Sendo que, as cotas de um Fundo de Investimento Aberto não podem ser objetos de transferência de titularidade, com exceção de</w:t>
      </w:r>
    </w:p>
    <w:p w14:paraId="2B54781B" w14:textId="47F5FA71" w:rsidR="00BA72A2" w:rsidRDefault="00BA72A2" w:rsidP="00BA72A2">
      <w:r>
        <w:rPr>
          <w:rFonts w:ascii="Segoe UI Symbol" w:hAnsi="Segoe UI Symbol" w:cs="Segoe UI Symbol"/>
        </w:rPr>
        <w:t>⯀</w:t>
      </w:r>
      <w:r>
        <w:t xml:space="preserve"> decisão judicial ou arbitral;</w:t>
      </w:r>
    </w:p>
    <w:p w14:paraId="5C875718" w14:textId="4295A54E" w:rsidR="00BA72A2" w:rsidRDefault="00BA72A2" w:rsidP="00BA72A2">
      <w:r>
        <w:t xml:space="preserve"> </w:t>
      </w:r>
      <w:r>
        <w:rPr>
          <w:rFonts w:ascii="Segoe UI Symbol" w:hAnsi="Segoe UI Symbol" w:cs="Segoe UI Symbol"/>
        </w:rPr>
        <w:t>⯀</w:t>
      </w:r>
      <w:r>
        <w:t xml:space="preserve"> operações de cessão fiduciária; </w:t>
      </w:r>
    </w:p>
    <w:p w14:paraId="5FECC5EC" w14:textId="01F37C87" w:rsidR="00BA72A2" w:rsidRDefault="00BA72A2" w:rsidP="00BA72A2">
      <w:r>
        <w:rPr>
          <w:rFonts w:ascii="Segoe UI Symbol" w:hAnsi="Segoe UI Symbol" w:cs="Segoe UI Symbol"/>
        </w:rPr>
        <w:t>⯀</w:t>
      </w:r>
      <w:r>
        <w:t xml:space="preserve"> execução de garantia; </w:t>
      </w:r>
    </w:p>
    <w:p w14:paraId="423606E1" w14:textId="74FCFCB0" w:rsidR="00BA72A2" w:rsidRDefault="00BA72A2" w:rsidP="00BA72A2">
      <w:r>
        <w:rPr>
          <w:rFonts w:ascii="Segoe UI Symbol" w:hAnsi="Segoe UI Symbol" w:cs="Segoe UI Symbol"/>
        </w:rPr>
        <w:t>⯀</w:t>
      </w:r>
      <w:r>
        <w:t xml:space="preserve"> sucessão universal; </w:t>
      </w:r>
    </w:p>
    <w:p w14:paraId="3B66F9B7" w14:textId="2876EE3E" w:rsidR="00BA72A2" w:rsidRDefault="00BA72A2" w:rsidP="00BA72A2">
      <w:r>
        <w:rPr>
          <w:rFonts w:ascii="Segoe UI Symbol" w:hAnsi="Segoe UI Symbol" w:cs="Segoe UI Symbol"/>
        </w:rPr>
        <w:t>⯀</w:t>
      </w:r>
      <w:r>
        <w:t xml:space="preserve"> dissolução de sociedade conjugal ou união estável por via judicial ou escritura pública que disponha sobre a partilha de bens; </w:t>
      </w:r>
    </w:p>
    <w:p w14:paraId="65AA34FE" w14:textId="759E8621" w:rsidR="00BA72A2" w:rsidRDefault="00BA72A2" w:rsidP="00BA72A2">
      <w:r>
        <w:rPr>
          <w:rFonts w:ascii="Segoe UI Symbol" w:hAnsi="Segoe UI Symbol" w:cs="Segoe UI Symbol"/>
        </w:rPr>
        <w:t>⯀</w:t>
      </w:r>
      <w:r>
        <w:t xml:space="preserve"> transferência de administração ou portabilidade de planos de previdência.</w:t>
      </w:r>
    </w:p>
    <w:p w14:paraId="5338F5DC" w14:textId="5D8C9660" w:rsidR="00BA72A2" w:rsidRDefault="00BA72A2" w:rsidP="00BA72A2">
      <w:r>
        <w:t>As cotas de um Fundo de Investimento Fechado e seus direitos de subscrição podem ser transferidos. Porém, mediante termo de cessão e transferência, assinado pelo cedente e pelo cessionário, ou por meio de negociação em mercado organizado em que as cotas sejam admitidas à negociação</w:t>
      </w:r>
    </w:p>
    <w:p w14:paraId="2A564E65" w14:textId="7571BA69" w:rsidR="00BA72A2" w:rsidRDefault="00BA72A2" w:rsidP="00BA72A2">
      <w:r>
        <w:t>Já que eu citei aqui nesse os termos “fundo fechado” e “fundo aberto”, nada mais justo do que falarmos sobre os tipos de fundo. Bora?</w:t>
      </w:r>
    </w:p>
    <w:p w14:paraId="4C307B98" w14:textId="77777777" w:rsidR="00257E1A" w:rsidRDefault="00BA72A2" w:rsidP="00BA72A2">
      <w:r>
        <w:rPr>
          <w:noProof/>
        </w:rPr>
        <w:lastRenderedPageBreak/>
        <w:drawing>
          <wp:inline distT="0" distB="0" distL="0" distR="0" wp14:anchorId="3FFA5E3E" wp14:editId="235521C8">
            <wp:extent cx="5400040" cy="360934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609340"/>
                    </a:xfrm>
                    <a:prstGeom prst="rect">
                      <a:avLst/>
                    </a:prstGeom>
                    <a:noFill/>
                    <a:ln>
                      <a:noFill/>
                    </a:ln>
                  </pic:spPr>
                </pic:pic>
              </a:graphicData>
            </a:graphic>
          </wp:inline>
        </w:drawing>
      </w:r>
    </w:p>
    <w:p w14:paraId="50340E03" w14:textId="37477A6D" w:rsidR="00BA72A2" w:rsidRDefault="00257E1A" w:rsidP="00BA72A2">
      <w:r w:rsidRPr="00257E1A">
        <w:t>Controles Internos e o Chinese Wall: Segregação das Atividades</w:t>
      </w:r>
    </w:p>
    <w:p w14:paraId="1F1B567A" w14:textId="2F423417" w:rsidR="00257E1A" w:rsidRDefault="00257E1A" w:rsidP="00257E1A">
      <w:r>
        <w:t>Controles Internos</w:t>
      </w:r>
    </w:p>
    <w:p w14:paraId="53A8D886" w14:textId="3FE780BA" w:rsidR="00257E1A" w:rsidRDefault="00257E1A" w:rsidP="00257E1A">
      <w:r>
        <w:t>Até agora estávamos falando sobre prevenção à Lavagem de Dinheiro, e para pegar o embalo num tema carregado de procedimentos, vamos entender a importância de uma área de controles internos</w:t>
      </w:r>
    </w:p>
    <w:p w14:paraId="57275CFD" w14:textId="2E3397B3" w:rsidR="00257E1A" w:rsidRDefault="00257E1A" w:rsidP="00257E1A">
      <w:r>
        <w:t>Se voltarmos ao módulo 1, onde falamos sobre o Sistema Financeiro Nacional, lembraremos que uma Instituição Financeira pode prestar serviço de intermediação de recursos, bem como a gestão de recursos de terceiros.</w:t>
      </w:r>
    </w:p>
    <w:p w14:paraId="28F4CCAE" w14:textId="7B0C9EC3" w:rsidR="00257E1A" w:rsidRDefault="00257E1A" w:rsidP="00257E1A">
      <w:r>
        <w:t xml:space="preserve">Em outras palavras, uma instituição, ao fazer a intermediação, procura ter o máximo de spread possível. Essa mesma instituição, ao fazer gestão de recursos de terceiros, procura trazer a maior rentabilidade possível para os investidores. Para evitar esse potencial conflito de interesse é obrigatório a implementação da área de controles internos. </w:t>
      </w:r>
    </w:p>
    <w:p w14:paraId="520F38FC" w14:textId="1AE26A16" w:rsidR="00257E1A" w:rsidRDefault="00257E1A" w:rsidP="00257E1A">
      <w:r>
        <w:t>Antes de prosseguirmos, deixe-me explicar o conceito de spread. Isso vai facilitar sua compreensão.</w:t>
      </w:r>
    </w:p>
    <w:p w14:paraId="7514463C" w14:textId="43512417" w:rsidR="00257E1A" w:rsidRDefault="00257E1A" w:rsidP="00257E1A">
      <w:r>
        <w:t xml:space="preserve">O spread bancário, em termos simplificados, é a diferença entre a taxa de juros cobrada aos tomadores de crédito e a taxa de juros paga aos depositantes pelos bancos. Em outras palavras, é a diferença entre a remuneração que o banco paga ao aplicador para captar um recurso e o quanto esse banco cobra para emprestar o mesmo dinheiro. O cliente que deposita dinheiro no banco está de fato fazendo um empréstimo ao banco. Portanto, o banco remunera os depósitos de clientes a uma certa taxa de juros (chamada taxa de juros de captação ou simplesmente taxa de captação). </w:t>
      </w:r>
    </w:p>
    <w:p w14:paraId="50F8B48B" w14:textId="1A30203A" w:rsidR="00257E1A" w:rsidRDefault="00257E1A" w:rsidP="00257E1A">
      <w:r>
        <w:t>Analogamente, quando o banco empresta dinheiro a alguém, ele cobra uma taxa pelo empréstimo - uma taxa que será certamente superior à taxa de captação.</w:t>
      </w:r>
    </w:p>
    <w:p w14:paraId="749AC4A8" w14:textId="642FD5F6" w:rsidR="00257E1A" w:rsidRDefault="00257E1A" w:rsidP="00257E1A">
      <w:r>
        <w:lastRenderedPageBreak/>
        <w:t>Deixando a coisa ainda mais simples: quando você investe seu dinheiro no CDB do banco ganhando 0,70% ao mês e o banco empresta esse dinheiro no cheque especial a outro cliente com uma taxa de 12% ao mês, temos aqui um dos maiores spreads do mercado (para não dizer do mundo).</w:t>
      </w:r>
    </w:p>
    <w:p w14:paraId="2FE84063" w14:textId="01C4564F" w:rsidR="00257E1A" w:rsidRDefault="00257E1A" w:rsidP="00257E1A">
      <w:r>
        <w:t>Agora que você entendeu o spread, vamos deixar claro como teríamos um conflito de interesses: na intermediação financeira, o banco vai buscar sempre o maior spread possível e, para isso, se faz necessário, ao captar recursos dos investidores, pagar a menor taxa de juros possível. Na prestação de serviços de gestão de recursos de terceiros, a Instituição Financeira precisa trazer a maior rentabilidade possível. Para alcançar essa rentabilidade, é necessário aplicar o recurso do seu cliente com a maior taxa possível.</w:t>
      </w:r>
    </w:p>
    <w:p w14:paraId="653BBE97" w14:textId="6CA49A67" w:rsidR="00257E1A" w:rsidRDefault="00257E1A" w:rsidP="00257E1A">
      <w:r>
        <w:t xml:space="preserve">Resumindo: o conflito de interesse: de um lado, o banco tem a necessidade de captar recursos com a menor taxa possível; do outro lado, o banco tem a necessidade de aplicar o dinheiro dos investidores com maior taxa possível </w:t>
      </w:r>
    </w:p>
    <w:p w14:paraId="198AC255" w14:textId="1507F091" w:rsidR="00257E1A" w:rsidRDefault="00257E1A" w:rsidP="00257E1A">
      <w:r>
        <w:t>Entendido o conflito de interesse e a importância de gerenciar o mesmo para segurança do investidor e transparência da instituição, a área de controles internos também tem papel fundamental na segurança de informação dos clientes. A segregação das funções da instituição é uma forma de evitar o conflito de interesse. A responsabilidade de implantação é da área de controles internos. Essa área também é responsável por criar procedimentos que garantam a segurança de informação dos clientes.</w:t>
      </w:r>
    </w:p>
    <w:p w14:paraId="77F92D28" w14:textId="2FE563AF" w:rsidR="00257E1A" w:rsidRDefault="00257E1A" w:rsidP="00257E1A">
      <w:r>
        <w:t>Os controles internos, cujas disposições devem estar acessíveis a todos os funcionários da instituição, de forma a assegurar sejam conhecidas a respectiva função no processo e as responsabilidades atribuídas aos diversos níveis da organização, devem prever:</w:t>
      </w:r>
    </w:p>
    <w:p w14:paraId="7EDA1674" w14:textId="0E2DFB22" w:rsidR="00257E1A" w:rsidRDefault="00257E1A" w:rsidP="00257E1A">
      <w:r>
        <w:rPr>
          <w:rFonts w:ascii="Segoe UI Symbol" w:hAnsi="Segoe UI Symbol" w:cs="Segoe UI Symbol"/>
        </w:rPr>
        <w:t>⯀</w:t>
      </w:r>
      <w:r>
        <w:t xml:space="preserve"> a definição de responsabilidades dentro da instituição; </w:t>
      </w:r>
    </w:p>
    <w:p w14:paraId="7D48805D" w14:textId="0482FB0A" w:rsidR="00257E1A" w:rsidRDefault="00257E1A" w:rsidP="00257E1A">
      <w:r>
        <w:rPr>
          <w:rFonts w:ascii="Segoe UI Symbol" w:hAnsi="Segoe UI Symbol" w:cs="Segoe UI Symbol"/>
        </w:rPr>
        <w:t>⯀</w:t>
      </w:r>
      <w:r>
        <w:t xml:space="preserve"> a segregação das atividades atribuídas aos integrantes da instituição de forma que seja evitado o conflito de interesses, bem como meios de minimizar e monitorar adequadamente áreas identificadas como de potencial conflito da espécie;</w:t>
      </w:r>
    </w:p>
    <w:p w14:paraId="58DC237B" w14:textId="26F44836" w:rsidR="00257E1A" w:rsidRDefault="00257E1A" w:rsidP="00257E1A">
      <w:r>
        <w:t xml:space="preserve"> </w:t>
      </w:r>
      <w:r>
        <w:rPr>
          <w:rFonts w:ascii="Segoe UI Symbol" w:hAnsi="Segoe UI Symbol" w:cs="Segoe UI Symbol"/>
        </w:rPr>
        <w:t>⯀</w:t>
      </w:r>
      <w:r>
        <w:t xml:space="preserve"> meios de identificar e avaliar fatores internos e externos que possam afetar adversamente a realização dos objetivos da instituição;</w:t>
      </w:r>
    </w:p>
    <w:p w14:paraId="01E528F8" w14:textId="319B1EAB" w:rsidR="00257E1A" w:rsidRDefault="00257E1A" w:rsidP="00257E1A">
      <w:r>
        <w:t xml:space="preserve"> </w:t>
      </w:r>
      <w:r>
        <w:rPr>
          <w:rFonts w:ascii="Segoe UI Symbol" w:hAnsi="Segoe UI Symbol" w:cs="Segoe UI Symbol"/>
        </w:rPr>
        <w:t>⯀</w:t>
      </w:r>
      <w:r>
        <w:t xml:space="preserve"> a existência de canais de comunicação que assegurem aos funcionários, segundo o correspondente nível de atuação, o acesso a confiáveis, tempestivas e compreensíveis informações consideradas relevantes para suas tarefas e responsabilidades;</w:t>
      </w:r>
    </w:p>
    <w:p w14:paraId="6496D9D3" w14:textId="0FD320B9" w:rsidR="00257E1A" w:rsidRDefault="00257E1A" w:rsidP="00257E1A">
      <w:r>
        <w:rPr>
          <w:rFonts w:ascii="Segoe UI Symbol" w:hAnsi="Segoe UI Symbol" w:cs="Segoe UI Symbol"/>
        </w:rPr>
        <w:t>⯀</w:t>
      </w:r>
      <w:r>
        <w:t xml:space="preserve">  a contínua avaliação dos diversos riscos associados às atividades da instituição; </w:t>
      </w:r>
    </w:p>
    <w:p w14:paraId="593D2D13" w14:textId="78B69731" w:rsidR="00257E1A" w:rsidRDefault="00257E1A" w:rsidP="00257E1A">
      <w:r>
        <w:rPr>
          <w:rFonts w:ascii="Segoe UI Symbol" w:hAnsi="Segoe UI Symbol" w:cs="Segoe UI Symbol"/>
        </w:rPr>
        <w:t>⯀</w:t>
      </w:r>
      <w:r>
        <w:t xml:space="preserve"> o acompanhamento sistemático das atividades desenvolvidas, de forma que se possa avaliar se os objetivos da instituição estão sendo alcançados, se os limites estabelecidos e as leis e regulamentos aplicáveis estão sendo cumpridos, bem como a assegurar que quaisquer desvios possam ser prontamente corrigidos; </w:t>
      </w:r>
    </w:p>
    <w:p w14:paraId="148FB26B" w14:textId="6B9CC821" w:rsidR="00257E1A" w:rsidRDefault="00257E1A" w:rsidP="00257E1A">
      <w:r>
        <w:rPr>
          <w:rFonts w:ascii="Segoe UI Symbol" w:hAnsi="Segoe UI Symbol" w:cs="Segoe UI Symbol"/>
        </w:rPr>
        <w:t>⯀</w:t>
      </w:r>
      <w:r>
        <w:t xml:space="preserve"> a existência de testes periódicos de segurança para os sistemas de informações, em especial para os mantidos em meio eletrônico</w:t>
      </w:r>
    </w:p>
    <w:p w14:paraId="28A75A7F" w14:textId="19D52C00" w:rsidR="00257E1A" w:rsidRDefault="00257E1A" w:rsidP="00257E1A">
      <w:r>
        <w:t>Os controles internos devem ser periodicamente revisados e atualizados, sendo a eles incorporadas medidas relacionadas a riscos novos ou anteriormente não abordados.</w:t>
      </w:r>
    </w:p>
    <w:p w14:paraId="2205C715" w14:textId="5FD925BA" w:rsidR="00257E1A" w:rsidRDefault="00257E1A" w:rsidP="00257E1A">
      <w:r>
        <w:rPr>
          <w:noProof/>
        </w:rPr>
        <w:lastRenderedPageBreak/>
        <w:drawing>
          <wp:inline distT="0" distB="0" distL="0" distR="0" wp14:anchorId="2737AFD5" wp14:editId="221BF05D">
            <wp:extent cx="5400040" cy="3104515"/>
            <wp:effectExtent l="0" t="0" r="0" b="63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3104515"/>
                    </a:xfrm>
                    <a:prstGeom prst="rect">
                      <a:avLst/>
                    </a:prstGeom>
                    <a:noFill/>
                    <a:ln>
                      <a:noFill/>
                    </a:ln>
                  </pic:spPr>
                </pic:pic>
              </a:graphicData>
            </a:graphic>
          </wp:inline>
        </w:drawing>
      </w:r>
    </w:p>
    <w:p w14:paraId="4F455768" w14:textId="5271E30B" w:rsidR="00A230BA" w:rsidRDefault="00A230BA" w:rsidP="00A230BA">
      <w:r>
        <w:t>Assembleia Geral de Cotistas</w:t>
      </w:r>
    </w:p>
    <w:p w14:paraId="037454E3" w14:textId="07A7FBC1" w:rsidR="00A230BA" w:rsidRDefault="00A230BA" w:rsidP="00A230BA">
      <w:r>
        <w:t xml:space="preserve"> Como já vimos ao longo desse módulo, o Fundo de Investimento é uma prestação de serviços que funciona sob o regime de condomínio e que, embora possua um administrador, este não detém todos os poderes de decisão do fundo. Decisões mais relevantes ao fundo devem ser deliberadas em uma assembleia de cotistas. Logo, o Fundo de Investimento, através de seu administrador, vai convocar assembleia geral de cotistas no mínimo uma vez por ano..</w:t>
      </w:r>
    </w:p>
    <w:p w14:paraId="2F99139F" w14:textId="2E1C1D97" w:rsidR="00A230BA" w:rsidRDefault="00A230BA" w:rsidP="00A230BA">
      <w:r>
        <w:t xml:space="preserve">A assembleia de cotistas vai deliberar sobre: </w:t>
      </w:r>
    </w:p>
    <w:p w14:paraId="73A45FEE" w14:textId="2056698E" w:rsidR="00A230BA" w:rsidRDefault="00A230BA" w:rsidP="00A230BA">
      <w:r>
        <w:rPr>
          <w:rFonts w:ascii="Segoe UI Symbol" w:hAnsi="Segoe UI Symbol" w:cs="Segoe UI Symbol"/>
        </w:rPr>
        <w:t>⯀</w:t>
      </w:r>
      <w:r>
        <w:t xml:space="preserve"> demonstrações contábeis apresentadas pelo administrador; </w:t>
      </w:r>
    </w:p>
    <w:p w14:paraId="3CDCDD86" w14:textId="72D4341D" w:rsidR="00A230BA" w:rsidRDefault="00A230BA" w:rsidP="00A230BA">
      <w:r>
        <w:rPr>
          <w:rFonts w:ascii="Segoe UI Symbol" w:hAnsi="Segoe UI Symbol" w:cs="Segoe UI Symbol"/>
        </w:rPr>
        <w:t>⯀</w:t>
      </w:r>
      <w:r>
        <w:t xml:space="preserve"> substituição do administrador, do gestor ou do custodiante do fundo; </w:t>
      </w:r>
    </w:p>
    <w:p w14:paraId="115D44C4" w14:textId="2808C0AB" w:rsidR="00A230BA" w:rsidRDefault="00A230BA" w:rsidP="00A230BA">
      <w:r>
        <w:rPr>
          <w:rFonts w:ascii="Segoe UI Symbol" w:hAnsi="Segoe UI Symbol" w:cs="Segoe UI Symbol"/>
        </w:rPr>
        <w:t>⯀</w:t>
      </w:r>
      <w:r>
        <w:t xml:space="preserve"> fusão, incorporação, cisão, transformação ou liquidação do fundo; </w:t>
      </w:r>
    </w:p>
    <w:p w14:paraId="6FBB1612" w14:textId="41C119D4" w:rsidR="00A230BA" w:rsidRDefault="00A230BA" w:rsidP="00A230BA">
      <w:r>
        <w:rPr>
          <w:rFonts w:ascii="Segoe UI Symbol" w:hAnsi="Segoe UI Symbol" w:cs="Segoe UI Symbol"/>
        </w:rPr>
        <w:t>⯀</w:t>
      </w:r>
      <w:r>
        <w:t xml:space="preserve"> aumento da taxa de administração, taxa de performance ou outras despesas do fundo; </w:t>
      </w:r>
    </w:p>
    <w:p w14:paraId="03C224EF" w14:textId="5FFB2B83" w:rsidR="00A230BA" w:rsidRDefault="00A230BA" w:rsidP="00A230BA">
      <w:r>
        <w:rPr>
          <w:rFonts w:ascii="Segoe UI Symbol" w:hAnsi="Segoe UI Symbol" w:cs="Segoe UI Symbol"/>
        </w:rPr>
        <w:t>⯀</w:t>
      </w:r>
      <w:r>
        <w:t xml:space="preserve"> alteração da política de investimento do fundo; </w:t>
      </w:r>
    </w:p>
    <w:p w14:paraId="546C46F8" w14:textId="51E02E20" w:rsidR="00A230BA" w:rsidRDefault="00A230BA" w:rsidP="00A230BA">
      <w:r>
        <w:rPr>
          <w:rFonts w:ascii="Segoe UI Symbol" w:hAnsi="Segoe UI Symbol" w:cs="Segoe UI Symbol"/>
        </w:rPr>
        <w:t>⯀</w:t>
      </w:r>
      <w:r>
        <w:t xml:space="preserve"> emissão de novas cotas, no fundo fechado; </w:t>
      </w:r>
    </w:p>
    <w:p w14:paraId="5E2510F9" w14:textId="204DB3E5" w:rsidR="00A230BA" w:rsidRDefault="00A230BA" w:rsidP="00A230BA">
      <w:r>
        <w:rPr>
          <w:rFonts w:ascii="Segoe UI Symbol" w:hAnsi="Segoe UI Symbol" w:cs="Segoe UI Symbol"/>
        </w:rPr>
        <w:t>⯀</w:t>
      </w:r>
      <w:r>
        <w:t xml:space="preserve"> amortização de cotas e resgate compulsório de cotas, caso não esteja prevista no regulamento; </w:t>
      </w:r>
    </w:p>
    <w:p w14:paraId="2A201D1F" w14:textId="393779F0" w:rsidR="00A230BA" w:rsidRDefault="00A230BA" w:rsidP="00A230BA">
      <w:r>
        <w:rPr>
          <w:rFonts w:ascii="Segoe UI Symbol" w:hAnsi="Segoe UI Symbol" w:cs="Segoe UI Symbol"/>
        </w:rPr>
        <w:t>⯀</w:t>
      </w:r>
      <w:r>
        <w:t xml:space="preserve"> alteração do regulamento.</w:t>
      </w:r>
    </w:p>
    <w:p w14:paraId="74B7A12F" w14:textId="372FA0C5" w:rsidR="00A230BA" w:rsidRDefault="00A230BA" w:rsidP="00A230BA">
      <w:r>
        <w:t>Já que eu citei, aqui no item acima, que a assembleia é que vai deliberar sobre a mudança de regulamento no fundo de investimento, permita-me mostrar uma exceção. O regulamento pode ser alterado, independentemente da assembleia geral, sempre que tal alteração:</w:t>
      </w:r>
    </w:p>
    <w:p w14:paraId="3E5CB0F0" w14:textId="6617B961" w:rsidR="00A230BA" w:rsidRDefault="00A230BA" w:rsidP="00A230BA">
      <w:r>
        <w:t>I. decorrer exclusivamente da necessidade de atendimento a exigências expressas da CVM ou de adequação a normas legais ou regulamentares;</w:t>
      </w:r>
    </w:p>
    <w:p w14:paraId="7126C876" w14:textId="5288D31C" w:rsidR="00A230BA" w:rsidRDefault="00A230BA" w:rsidP="00A230BA">
      <w:r>
        <w:lastRenderedPageBreak/>
        <w:t xml:space="preserve"> II. for necessária em virtude da atualização dos dados cadastrais do administrador ou dos prestadores de serviços do fundo, tais como alteração na razão social, endereço, página na rede mundial de computadores e telefone; </w:t>
      </w:r>
    </w:p>
    <w:p w14:paraId="30E8E64A" w14:textId="3A43B523" w:rsidR="00A230BA" w:rsidRDefault="00A230BA" w:rsidP="00A230BA">
      <w:r>
        <w:t>III. envolver redução da taxa de administração ou da taxa de performance.</w:t>
      </w:r>
    </w:p>
    <w:p w14:paraId="71596591" w14:textId="45612135" w:rsidR="00A230BA" w:rsidRDefault="00A230BA" w:rsidP="00A230BA">
      <w:r>
        <w:t>Sempre que houver mudança no regulamento por motivos citados no item I e II, o fundo tem até 30 dias para comunicar os cotistas. Caso a mudança seja motivada pelo item III, o fundo deve comunicar os cotistas tão logo seja feita a alteração.</w:t>
      </w:r>
    </w:p>
    <w:p w14:paraId="7931DC95" w14:textId="304AEC89" w:rsidR="00A230BA" w:rsidRDefault="00A230BA" w:rsidP="00A230BA">
      <w:r>
        <w:t xml:space="preserve">Exceção citada, voltemos à assembleia. </w:t>
      </w:r>
    </w:p>
    <w:p w14:paraId="529F5BB0" w14:textId="7C8C5FFA" w:rsidR="00A230BA" w:rsidRDefault="00A230BA" w:rsidP="00A230BA">
      <w:r>
        <w:t>Convocação</w:t>
      </w:r>
    </w:p>
    <w:p w14:paraId="3866C6D9" w14:textId="76F27BD0" w:rsidR="00A230BA" w:rsidRDefault="00A230BA" w:rsidP="00A230BA">
      <w:r>
        <w:t>O administrador do fundo é responsável por convocar a assembleia de cotistas para deliberar sobre os assuntos já citados aqui. Essa convocação deve ser feita com 10 dias de antecedência, no mínimo, da data de sua realização</w:t>
      </w:r>
    </w:p>
    <w:p w14:paraId="1A5E09AF" w14:textId="4F84DB37" w:rsidR="00A230BA" w:rsidRDefault="00A230BA" w:rsidP="00A230BA">
      <w:r>
        <w:t xml:space="preserve">A convocação de assembleia geral deve enumerar, expressamente, na ordem do dia, todas as matérias a serem deliberadas, não se admitindo que sob a rubrica de assuntos gerais haja matérias que dependam de deliberação da assembleia. </w:t>
      </w:r>
    </w:p>
    <w:p w14:paraId="18817B63" w14:textId="36DAA22D" w:rsidR="00A230BA" w:rsidRDefault="00A230BA" w:rsidP="00A230BA">
      <w:r>
        <w:t>Para deliberar sobre as demonstrações contábeis do fundo, deve haver no mínimo uma assembleia por ano e essa deve acontecer no máximo em 120 dias após o término do exercício social do fundo. Já para realização dessa assembleia, as demonstrações contábeis do fundo devem estar publicadas do site do administrador no mínimo 15 dias antes.</w:t>
      </w:r>
    </w:p>
    <w:p w14:paraId="260F6BAA" w14:textId="662A119C" w:rsidR="00A230BA" w:rsidRDefault="00A230BA" w:rsidP="00A230BA">
      <w:r>
        <w:t>Podem convocar a assembleia geral, além do administrador do fundo, o gestor, custodiante ou o cotista ou grupo de cotistas que detenham no mínimo 5% das cotas emitidas do fundo. Caso um dos participantes do fundo requeira uma assembleia, essa demanda deve ser encaminhada ao administrador que, por sua vez, tem até 30 dias para convocar os demais participantes.</w:t>
      </w:r>
    </w:p>
    <w:p w14:paraId="3C88424A" w14:textId="31821345" w:rsidR="00A230BA" w:rsidRDefault="00A230BA" w:rsidP="00A230BA">
      <w:r>
        <w:t xml:space="preserve">Não podem votar nas assembleias gerais do fundo: </w:t>
      </w:r>
    </w:p>
    <w:p w14:paraId="5A84972B" w14:textId="7D3691BE" w:rsidR="00A230BA" w:rsidRDefault="00A230BA" w:rsidP="00A230BA">
      <w:r>
        <w:rPr>
          <w:rFonts w:ascii="Segoe UI Symbol" w:hAnsi="Segoe UI Symbol" w:cs="Segoe UI Symbol"/>
        </w:rPr>
        <w:t>⯀</w:t>
      </w:r>
      <w:r>
        <w:t xml:space="preserve"> seu administrador e seu gestor; </w:t>
      </w:r>
    </w:p>
    <w:p w14:paraId="6D81E6E8" w14:textId="0900C29C" w:rsidR="00A230BA" w:rsidRDefault="00A230BA" w:rsidP="00A230BA">
      <w:r>
        <w:rPr>
          <w:rFonts w:ascii="Segoe UI Symbol" w:hAnsi="Segoe UI Symbol" w:cs="Segoe UI Symbol"/>
        </w:rPr>
        <w:t>⯀</w:t>
      </w:r>
      <w:r>
        <w:t xml:space="preserve"> os sócios, diretores e funcionários do administrador ou do gestor; </w:t>
      </w:r>
    </w:p>
    <w:p w14:paraId="0C5AA7DF" w14:textId="7B5BBA23" w:rsidR="00A230BA" w:rsidRDefault="00A230BA" w:rsidP="00A230BA">
      <w:r>
        <w:rPr>
          <w:rFonts w:ascii="Segoe UI Symbol" w:hAnsi="Segoe UI Symbol" w:cs="Segoe UI Symbol"/>
        </w:rPr>
        <w:t>⯀</w:t>
      </w:r>
      <w:r>
        <w:t xml:space="preserve"> empresas ligadas ao administrador ou ao gestor, seus sócios, diretores, funcionários; </w:t>
      </w:r>
    </w:p>
    <w:p w14:paraId="0E0BA3BB" w14:textId="1A5CF625" w:rsidR="00A230BA" w:rsidRDefault="00A230BA" w:rsidP="00A230BA">
      <w:r>
        <w:rPr>
          <w:rFonts w:ascii="Segoe UI Symbol" w:hAnsi="Segoe UI Symbol" w:cs="Segoe UI Symbol"/>
        </w:rPr>
        <w:t>⯀</w:t>
      </w:r>
      <w:r>
        <w:t xml:space="preserve"> os prestadores de serviços do fundo, seus sócios, diretores e funcionários.</w:t>
      </w:r>
    </w:p>
    <w:p w14:paraId="4036998D" w14:textId="61873083" w:rsidR="00A230BA" w:rsidRDefault="00A230BA" w:rsidP="00A230BA">
      <w:r>
        <w:t>O resumo das decisões da assembleia geral deve ser disponibilizado aos cotistas no prazo de até 30 dias após a data de realização da assembleia.</w:t>
      </w:r>
    </w:p>
    <w:p w14:paraId="5F4C2C36" w14:textId="6DBA47AD" w:rsidR="00A230BA" w:rsidRDefault="00A230BA" w:rsidP="00A230BA">
      <w:r>
        <w:t xml:space="preserve">Distribuição por conta e ordem </w:t>
      </w:r>
    </w:p>
    <w:p w14:paraId="73A49253" w14:textId="34990750" w:rsidR="00A230BA" w:rsidRDefault="00A230BA" w:rsidP="00A230BA">
      <w:r>
        <w:t>O Fundo de Investimento pode autorizar o distribuidor a realizar a subscrição de cotas do fundo por conta e ordem de seus respectivos clientes.</w:t>
      </w:r>
    </w:p>
    <w:p w14:paraId="7243DA76" w14:textId="1E5C99DB" w:rsidR="00A230BA" w:rsidRDefault="00A230BA" w:rsidP="00A230BA">
      <w:r>
        <w:t>Para a adoção do procedimento de que trata esta seção, o administrador e o distribuidor devem estabelecer, por escrito, a obrigação deste último de criar registro complementar de cotistas, específico para cada fundo em que ocorra tal modalidade de subscrição de cotas, de forma que:</w:t>
      </w:r>
    </w:p>
    <w:p w14:paraId="75848298" w14:textId="0E4628D4" w:rsidR="00A230BA" w:rsidRDefault="00A230BA" w:rsidP="00A230BA">
      <w:r>
        <w:rPr>
          <w:rFonts w:ascii="Segoe UI Symbol" w:hAnsi="Segoe UI Symbol" w:cs="Segoe UI Symbol"/>
        </w:rPr>
        <w:lastRenderedPageBreak/>
        <w:t>⯀</w:t>
      </w:r>
      <w:r>
        <w:t xml:space="preserve"> o distribuidor inscreva no registro complementar de cotistas a titularidade das cotas em nome dos investidores, atribuindo a cada cotista um código de cliente e informando tal código ao administrador do fundo; </w:t>
      </w:r>
    </w:p>
    <w:p w14:paraId="5D6E00C5" w14:textId="57485DDF" w:rsidR="00A230BA" w:rsidRDefault="00A230BA" w:rsidP="00A230BA">
      <w:r>
        <w:rPr>
          <w:rFonts w:ascii="Segoe UI Symbol" w:hAnsi="Segoe UI Symbol" w:cs="Segoe UI Symbol"/>
        </w:rPr>
        <w:t>⯀</w:t>
      </w:r>
      <w:r>
        <w:t xml:space="preserve"> o administrador, ou instituição contratada, escriture as cotas de forma especial no registro de cotistas do fundo, adotando, na identificação do titular, o nome do distribuidor, acrescido do código de cliente fornecido pelo distribuidor, e que identifica o cotista no registro complementar.</w:t>
      </w:r>
    </w:p>
    <w:p w14:paraId="5879C21A" w14:textId="71A4B889" w:rsidR="00A230BA" w:rsidRDefault="00A230BA" w:rsidP="00A230BA">
      <w:r>
        <w:t>As aplicações ou resgates realizados nos Fundos de Investimento por meio de distribuidores que estejam atuando por conta e ordem de clientes devem ser efetuadas de forma segregada. Assim, os bens e direitos integrantes do patrimônio de cada um dos clientes, bem como seus frutos e rendimentos, não se comunicam com o patrimônio do distribuidor.</w:t>
      </w:r>
    </w:p>
    <w:p w14:paraId="091217E6" w14:textId="5F30E3EC" w:rsidR="00A230BA" w:rsidRDefault="00A230BA" w:rsidP="00A230BA">
      <w:r>
        <w:t>Os bens e direitos de clientes dos distribuidores não respondem direta ou indiretamente por qualquer obrigação contraída por tais distribuidores. É vedada a constituição, em proveito próprio, de ônus reais ou de direitos reais de garantia em favor de terceiros sobre as cotas dos fundos.</w:t>
      </w:r>
    </w:p>
    <w:p w14:paraId="1EB63319" w14:textId="3C4C8902" w:rsidR="00A230BA" w:rsidRDefault="00A230BA" w:rsidP="00A230BA">
      <w:r>
        <w:t>Os distribuidores que estejam atuando por conta e ordem de clientes assumem todos os ônus e responsabilidades relacionadas aos clientes, inclusive quanto a seu cadastramento, identificação e demais procedimentos que, na forma desta Instrução, caberiam originalmente ao administrador, em especial no que se refere:</w:t>
      </w:r>
    </w:p>
    <w:p w14:paraId="1123D8F3" w14:textId="2135CD8D" w:rsidR="00A230BA" w:rsidRDefault="00A230BA" w:rsidP="00A230BA">
      <w:r>
        <w:rPr>
          <w:rFonts w:ascii="Segoe UI Symbol" w:hAnsi="Segoe UI Symbol" w:cs="Segoe UI Symbol"/>
        </w:rPr>
        <w:t>⯀</w:t>
      </w:r>
      <w:r>
        <w:t xml:space="preserve"> ao fornecimento aos clientes de lâminas, se houver, regulamentos, termos de adesão e ciência de riscos, notas de investimento e extratos a serem obrigatoriamente encaminhados pelos administradores aos distribuidores, para tal finalidade; </w:t>
      </w:r>
    </w:p>
    <w:p w14:paraId="59EBDEC9" w14:textId="7091B767" w:rsidR="00A230BA" w:rsidRDefault="00A230BA" w:rsidP="00A230BA">
      <w:r>
        <w:rPr>
          <w:rFonts w:ascii="Segoe UI Symbol" w:hAnsi="Segoe UI Symbol" w:cs="Segoe UI Symbol"/>
        </w:rPr>
        <w:t>⯀</w:t>
      </w:r>
      <w:r>
        <w:t xml:space="preserve"> à responsabilidade de dar ciência ao cotista de que a distribuição é feita por conta e ordem; </w:t>
      </w:r>
    </w:p>
    <w:p w14:paraId="399FF05F" w14:textId="7829A451" w:rsidR="00A230BA" w:rsidRDefault="00A230BA" w:rsidP="00A230BA">
      <w:r>
        <w:rPr>
          <w:rFonts w:ascii="Segoe UI Symbol" w:hAnsi="Segoe UI Symbol" w:cs="Segoe UI Symbol"/>
        </w:rPr>
        <w:t>⯀</w:t>
      </w:r>
      <w:r>
        <w:t xml:space="preserve"> à obrigação de dar ciência aos clientes de quaisquer exigências formuladas pela CVM; </w:t>
      </w:r>
    </w:p>
    <w:p w14:paraId="59DC54AE" w14:textId="281B59B0" w:rsidR="00A230BA" w:rsidRDefault="00A230BA" w:rsidP="00A230BA">
      <w:r>
        <w:rPr>
          <w:rFonts w:ascii="Segoe UI Symbol" w:hAnsi="Segoe UI Symbol" w:cs="Segoe UI Symbol"/>
        </w:rPr>
        <w:t>⯀</w:t>
      </w:r>
      <w:r>
        <w:t xml:space="preserve"> ao controle e à manutenção de registros internos referentes à compatibilidade entre as movimentações dos recursos dos clientes, sua capacidade financeira e atividades econômicas, nos termos das normas de proteção e combate à Lavagem de Dinheiro ou ocultação de bens, direitos e valores; </w:t>
      </w:r>
    </w:p>
    <w:p w14:paraId="2471053D" w14:textId="5DD2B9AA" w:rsidR="00A230BA" w:rsidRDefault="00A230BA" w:rsidP="00A230BA">
      <w:r>
        <w:rPr>
          <w:rFonts w:ascii="Segoe UI Symbol" w:hAnsi="Segoe UI Symbol" w:cs="Segoe UI Symbol"/>
        </w:rPr>
        <w:t>⯀</w:t>
      </w:r>
      <w:r>
        <w:t xml:space="preserve"> à regularidade e guarda da documentação cadastral dos clientes, nos estritos termos da regulamentação em vigor, bem como pelo cumprimento de todas as exigências legais quanto à referida documentação cadastral; </w:t>
      </w:r>
    </w:p>
    <w:p w14:paraId="7D8B0BE9" w14:textId="26852B16" w:rsidR="00A230BA" w:rsidRDefault="00A230BA" w:rsidP="00A230BA">
      <w:r>
        <w:rPr>
          <w:rFonts w:ascii="Segoe UI Symbol" w:hAnsi="Segoe UI Symbol" w:cs="Segoe UI Symbol"/>
        </w:rPr>
        <w:t>⯀</w:t>
      </w:r>
      <w:r>
        <w:t xml:space="preserve"> à prestação de informação diretamente à CVM sobre os dados cadastrais dos clientes que aplicarem nos fundos, quando esta informação for solicitada; </w:t>
      </w:r>
    </w:p>
    <w:p w14:paraId="06A1BB53" w14:textId="2F1A7EF4" w:rsidR="00A230BA" w:rsidRDefault="00A230BA" w:rsidP="00A230BA">
      <w:r>
        <w:rPr>
          <w:rFonts w:ascii="Segoe UI Symbol" w:hAnsi="Segoe UI Symbol" w:cs="Segoe UI Symbol"/>
        </w:rPr>
        <w:t>⯀</w:t>
      </w:r>
      <w:r>
        <w:t xml:space="preserve"> à comunicação aos clientes sobre a convocação de assembleias gerais de cotistas e sobre suas deliberações, de acordo com as instruções e informações que, com antecedência suficiente e tempestivamente, receberem dos administradores dos fundos de investimento; </w:t>
      </w:r>
    </w:p>
    <w:p w14:paraId="4F415F22" w14:textId="1325E04C" w:rsidR="00A230BA" w:rsidRDefault="00A230BA" w:rsidP="00A230BA">
      <w:r>
        <w:rPr>
          <w:rFonts w:ascii="Segoe UI Symbol" w:hAnsi="Segoe UI Symbol" w:cs="Segoe UI Symbol"/>
        </w:rPr>
        <w:t>⯀</w:t>
      </w:r>
      <w:r>
        <w:t xml:space="preserve"> à manutenção de serviço de atendimento aos seus clientes, para esclarecimento de dúvidas e pelo recebimento de reclamações;</w:t>
      </w:r>
    </w:p>
    <w:p w14:paraId="7B9F2C14" w14:textId="3788B8CA" w:rsidR="00A230BA" w:rsidRDefault="00A230BA" w:rsidP="00A230BA">
      <w:r>
        <w:rPr>
          <w:rFonts w:ascii="Segoe UI Symbol" w:hAnsi="Segoe UI Symbol" w:cs="Segoe UI Symbol"/>
        </w:rPr>
        <w:lastRenderedPageBreak/>
        <w:t>⯀</w:t>
      </w:r>
      <w:r>
        <w:t xml:space="preserve"> ao zelo para que o investidor final tenha pleno acesso a todos os documentos e informações previstos nesta Instrução, em igualdade de condições com os demais cotistas do fundo de investimento objeto da aplicação; </w:t>
      </w:r>
    </w:p>
    <w:p w14:paraId="35C56D35" w14:textId="5F50BDA8" w:rsidR="00A230BA" w:rsidRDefault="00A230BA" w:rsidP="00A230BA">
      <w:r>
        <w:rPr>
          <w:rFonts w:ascii="Segoe UI Symbol" w:hAnsi="Segoe UI Symbol" w:cs="Segoe UI Symbol"/>
        </w:rPr>
        <w:t>⯀</w:t>
      </w:r>
      <w:r>
        <w:t xml:space="preserve"> à manutenção de informações atualizadas que permitam a identificação, a qualquer tempo, de cada um dos investidores finais, bem como do registro atualizado de todas as aplicações e resgates realizados em nome de cada um dos investidores finais; </w:t>
      </w:r>
    </w:p>
    <w:p w14:paraId="5494DA61" w14:textId="7F88D714" w:rsidR="00A230BA" w:rsidRDefault="00A230BA" w:rsidP="00A230BA">
      <w:r>
        <w:rPr>
          <w:rFonts w:ascii="Segoe UI Symbol" w:hAnsi="Segoe UI Symbol" w:cs="Segoe UI Symbol"/>
        </w:rPr>
        <w:t>⯀</w:t>
      </w:r>
      <w:r>
        <w:t xml:space="preserve"> à obrigação de efetuar a retenção e o recolhimento dos tributos incidentes nas aplicações ou resgates em fundos de investimento, conforme determinar a legislação tributária</w:t>
      </w:r>
    </w:p>
    <w:p w14:paraId="7C518639" w14:textId="07E5BA1B" w:rsidR="00A230BA" w:rsidRDefault="00A230BA" w:rsidP="00A230BA">
      <w:r>
        <w:t xml:space="preserve">Despesas em fundos de investimentos </w:t>
      </w:r>
    </w:p>
    <w:p w14:paraId="6897A999" w14:textId="50E8A3EE" w:rsidR="00A230BA" w:rsidRDefault="00A230BA" w:rsidP="00A230BA">
      <w:r>
        <w:t>Como sabemos até aqui, um Fundo de Investimento é uma prestação de serviço. Outra coisa que é amplamente difundido no Mercado Financeiro é que “não existe almoço de graça” em lugar nenhum, por isso, para o investidor investir em um Fundo de Investimento, haverá custos. Tais custos são as taxas, conforme abaixo:</w:t>
      </w:r>
    </w:p>
    <w:p w14:paraId="790568C9" w14:textId="3FB008DC" w:rsidR="00A230BA" w:rsidRDefault="00A230BA" w:rsidP="00A230BA">
      <w:r>
        <w:rPr>
          <w:rFonts w:ascii="Segoe UI Symbol" w:hAnsi="Segoe UI Symbol" w:cs="Segoe UI Symbol"/>
        </w:rPr>
        <w:t>⯀</w:t>
      </w:r>
      <w:r>
        <w:t xml:space="preserve"> Taxa de administração: é uma taxa fixa, expressa em percentual ao ano e é cobrada e deduzida diariamente no patrimônio líquido do fundo. A cobrança de taxa de administração afeta o valor da cota. A rentabilidade divulgada pelos fundos de investimento é sempre líquida de taxa de administração, por isso sempre instrua seu cliente sobre estes custos; </w:t>
      </w:r>
    </w:p>
    <w:p w14:paraId="79A2BB6C" w14:textId="65208AA6" w:rsidR="00A230BA" w:rsidRDefault="00A230BA" w:rsidP="00A230BA">
      <w:r>
        <w:rPr>
          <w:rFonts w:ascii="Segoe UI Symbol" w:hAnsi="Segoe UI Symbol" w:cs="Segoe UI Symbol"/>
        </w:rPr>
        <w:t>⯀</w:t>
      </w:r>
      <w:r>
        <w:t xml:space="preserve"> Taxa de performance: É o percentual cobrado do cotista quando a rentabilidade do fundo supera a de um indicador de referência. Um fundo ativo pode cobrar (se previsto no regulamento) a taxa de performance desde que essa seja limitada a 20% do que exceder o benchmark e com o período mínimo de 180 dias</w:t>
      </w:r>
    </w:p>
    <w:p w14:paraId="7171B86F" w14:textId="32FB134F" w:rsidR="00A230BA" w:rsidRDefault="00A230BA" w:rsidP="00A230BA">
      <w:r>
        <w:t xml:space="preserve">Vamos compreender melhor a taxa de performance. </w:t>
      </w:r>
    </w:p>
    <w:p w14:paraId="25A01201" w14:textId="51BF4D08" w:rsidR="00A230BA" w:rsidRDefault="00A230BA" w:rsidP="00A230BA">
      <w:r>
        <w:t>Imagine um fundo ativo que tenha como objetivo superar o Ibovespa: resultado do Ibovespa no período foi de 10% e do fundo foi de 15%. Dessa forma, o fundo superou seu benchmark em 5%. Assim, o fundo pode cobrar no máximo 20% sobre o que excedeu, resultando em 1% (dos 5% superados). Portanto, o fundo entregaria uma rentabilidade de aproximadamente 14%. A taxa de performance pode ser cobrada somente depois de ser deduzido todas as outras despesas do fundo;</w:t>
      </w:r>
    </w:p>
    <w:p w14:paraId="011971D6" w14:textId="5CCD799C" w:rsidR="00A230BA" w:rsidRDefault="00A230BA" w:rsidP="00A230BA">
      <w:r>
        <w:rPr>
          <w:rFonts w:ascii="Segoe UI Symbol" w:hAnsi="Segoe UI Symbol" w:cs="Segoe UI Symbol"/>
        </w:rPr>
        <w:t>⯀</w:t>
      </w:r>
      <w:r>
        <w:t xml:space="preserve"> Taxa de entrada: embora não seja usual no mercado, a legislação prevê que o fundo pode, desde que previsto em regulamento, cobrar para o investidor entrar no fundo; ,</w:t>
      </w:r>
    </w:p>
    <w:p w14:paraId="288933C7" w14:textId="76200538" w:rsidR="00257E1A" w:rsidRDefault="00A230BA" w:rsidP="00A230BA">
      <w:r>
        <w:rPr>
          <w:rFonts w:ascii="Segoe UI Symbol" w:hAnsi="Segoe UI Symbol" w:cs="Segoe UI Symbol"/>
        </w:rPr>
        <w:t>⯀</w:t>
      </w:r>
      <w:r>
        <w:t xml:space="preserve"> Taxa de saída: assim como a taxa de entrada, não é usual, mas é permitido que o fundo cobre de investidor para sair do fundo</w:t>
      </w:r>
    </w:p>
    <w:p w14:paraId="45752895" w14:textId="6A01274D" w:rsidR="00A230BA" w:rsidRDefault="00A230BA" w:rsidP="00A230BA">
      <w:r>
        <w:rPr>
          <w:noProof/>
        </w:rPr>
        <w:lastRenderedPageBreak/>
        <w:drawing>
          <wp:inline distT="0" distB="0" distL="0" distR="0" wp14:anchorId="7C5C02E9" wp14:editId="73838492">
            <wp:extent cx="5400040" cy="280924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40" cy="2809240"/>
                    </a:xfrm>
                    <a:prstGeom prst="rect">
                      <a:avLst/>
                    </a:prstGeom>
                    <a:noFill/>
                    <a:ln>
                      <a:noFill/>
                    </a:ln>
                  </pic:spPr>
                </pic:pic>
              </a:graphicData>
            </a:graphic>
          </wp:inline>
        </w:drawing>
      </w:r>
    </w:p>
    <w:p w14:paraId="494DA6B7" w14:textId="35FB8AB8" w:rsidR="00A230BA" w:rsidRDefault="009461D8" w:rsidP="00A230BA">
      <w:r w:rsidRPr="009461D8">
        <w:t>Direitos Dos Cotistas</w:t>
      </w:r>
    </w:p>
    <w:p w14:paraId="465822F9" w14:textId="0AA1ED3F" w:rsidR="009461D8" w:rsidRDefault="009461D8" w:rsidP="009461D8">
      <w:r>
        <w:t>Direitos dos Cotistas e Despesas nos Fundos de Investimentos</w:t>
      </w:r>
    </w:p>
    <w:p w14:paraId="1922060D" w14:textId="01174D07" w:rsidR="009461D8" w:rsidRDefault="009461D8" w:rsidP="009461D8">
      <w:r>
        <w:t>Ao adquirir cotas de um fundo, o investidor está concordando com suas regras de funcionamento e passa a ter os mesmos direitos e deveres dos demais cotistas, independentemente da quantidade de cotas que possui. O exame do regulamento é fundamental para a tomada de uma decisão de investimento.,</w:t>
      </w:r>
    </w:p>
    <w:p w14:paraId="71ED0627" w14:textId="75F2AF6D" w:rsidR="009461D8" w:rsidRDefault="009461D8" w:rsidP="009461D8">
      <w:r>
        <w:t>É obrigação do administrador fornecer o regulamento, a lâmina de informações essenciais (se houver, pois alguns fundos são dispensados desse documento) e o formulário de informações complementares do fundo a todos os cotistas antes do investimento. Além disso, o administrador envia a todos os cotistas, mensalmente, um extrato de conta contendo informações relevantes.</w:t>
      </w:r>
    </w:p>
    <w:p w14:paraId="23BCC807" w14:textId="7A40D70A" w:rsidR="009461D8" w:rsidRDefault="009461D8" w:rsidP="009461D8">
      <w:r>
        <w:t xml:space="preserve">Obrigação do Cotista </w:t>
      </w:r>
    </w:p>
    <w:p w14:paraId="22C05EB8" w14:textId="24869C56" w:rsidR="009461D8" w:rsidRDefault="009461D8" w:rsidP="009461D8">
      <w:r>
        <w:t>É obrigação do cotista, mediante assinatura do Termo de Adesão e Ciência de Risco, atestar que teve acesso ao inteiro teor dos documentos entregues pelo administrador ou distribuidor do fundo. Além disso, ele atesta que:</w:t>
      </w:r>
    </w:p>
    <w:p w14:paraId="67E105AB" w14:textId="5B2852E7" w:rsidR="009461D8" w:rsidRDefault="009461D8" w:rsidP="009461D8">
      <w:r>
        <w:rPr>
          <w:rFonts w:ascii="Segoe UI Symbol" w:hAnsi="Segoe UI Symbol" w:cs="Segoe UI Symbol"/>
        </w:rPr>
        <w:t>⯀</w:t>
      </w:r>
      <w:r>
        <w:t xml:space="preserve"> possui ciência dos fatores de risco relativos ao fundo; </w:t>
      </w:r>
    </w:p>
    <w:p w14:paraId="1D200745" w14:textId="79F94D36" w:rsidR="009461D8" w:rsidRDefault="009461D8" w:rsidP="009461D8">
      <w:r>
        <w:rPr>
          <w:rFonts w:ascii="Segoe UI Symbol" w:hAnsi="Segoe UI Symbol" w:cs="Segoe UI Symbol"/>
        </w:rPr>
        <w:t>⯀</w:t>
      </w:r>
      <w:r>
        <w:t xml:space="preserve"> sabe que não há qualquer garantia contra eventuais perdas patrimoniais que </w:t>
      </w:r>
    </w:p>
    <w:p w14:paraId="1BF913E7" w14:textId="6C140D72" w:rsidR="009461D8" w:rsidRDefault="009461D8" w:rsidP="009461D8">
      <w:r>
        <w:rPr>
          <w:rFonts w:ascii="Segoe UI Symbol" w:hAnsi="Segoe UI Symbol" w:cs="Segoe UI Symbol"/>
        </w:rPr>
        <w:t>⯀</w:t>
      </w:r>
      <w:r>
        <w:t xml:space="preserve"> possam ser incorridas pelo fundo; </w:t>
      </w:r>
    </w:p>
    <w:p w14:paraId="07D24D67" w14:textId="5854BFEE" w:rsidR="009461D8" w:rsidRDefault="009461D8" w:rsidP="009461D8">
      <w:r>
        <w:rPr>
          <w:rFonts w:ascii="Segoe UI Symbol" w:hAnsi="Segoe UI Symbol" w:cs="Segoe UI Symbol"/>
        </w:rPr>
        <w:t>⯀</w:t>
      </w:r>
      <w:r>
        <w:t xml:space="preserve"> foi informado de que a concessão de registro para a venda de cotas do fundo não implica, por parte da CVM, garantia de veracidade das informações prestadas ou de adequação do regulamento do fundo à legislação vigente ou julgamento sobre a qualidade do fundo ou de seu administrador, gestor e demais prestadores de serviços;</w:t>
      </w:r>
    </w:p>
    <w:p w14:paraId="29F0160D" w14:textId="77777777" w:rsidR="009461D8" w:rsidRDefault="009461D8" w:rsidP="009461D8">
      <w:r>
        <w:rPr>
          <w:rFonts w:ascii="Segoe UI Symbol" w:hAnsi="Segoe UI Symbol" w:cs="Segoe UI Symbol"/>
        </w:rPr>
        <w:t>⯀</w:t>
      </w:r>
      <w:r>
        <w:t xml:space="preserve"> possuir conhecimento, se for o caso, de que as estratégias de investimento do fundo podem resultar em perdas superiores ao capital aplicado e a consequente obrigação do cotista de aportar recursos adicionais para cobrir o prejuízo do fundo.</w:t>
      </w:r>
    </w:p>
    <w:p w14:paraId="76273F54" w14:textId="4653EE7E" w:rsidR="009461D8" w:rsidRDefault="009461D8" w:rsidP="009461D8">
      <w:r>
        <w:lastRenderedPageBreak/>
        <w:t>Além dos direitos citados acima, os administradores de Fundos de Investimento devem divulgar informações para os cotistas, a CVM e as entidades do mercado, como a ANBIMA.</w:t>
      </w:r>
    </w:p>
    <w:p w14:paraId="7EE5FB58" w14:textId="1CF13A3B" w:rsidR="009461D8" w:rsidRDefault="009461D8" w:rsidP="009461D8">
      <w:r>
        <w:t>Para os cotistas, as informações devem ser divulgadas de maneira equitativa e simultânea, por meio eletrônico ou no site do administrador ou do distribuidor.</w:t>
      </w:r>
    </w:p>
    <w:p w14:paraId="07251D7E" w14:textId="6D53B6D5" w:rsidR="009461D8" w:rsidRDefault="009461D8" w:rsidP="009461D8">
      <w:r>
        <w:t>A CVM e a ANBIMA recebem diariamente dos administradores de todos os fundos registrados informações sobre patrimônio, número de cotistas e valor da cota. Essas informações são públicas e disponíveis no site da CVM</w:t>
      </w:r>
    </w:p>
    <w:p w14:paraId="4C6DE115" w14:textId="3F99FB92" w:rsidR="009461D8" w:rsidRDefault="009461D8" w:rsidP="009461D8">
      <w:r>
        <w:t>Além disso, periodicamente a CVM recebe informações sobre a composição das carteiras dos fundos registrados e também disponibiliza as informações ao público. O objetivo dessa divulgação é dar transparência aos investidores e ao público em geral sobre os fundos de investimento.</w:t>
      </w:r>
    </w:p>
    <w:p w14:paraId="5302588C" w14:textId="1154E2FD" w:rsidR="009461D8" w:rsidRDefault="009461D8" w:rsidP="009461D8">
      <w:r>
        <w:t>Para reforçar a importância da divulgação de informações, o administrador do fundo está sujeito a multa diária no valor de R$ 500,00, em virtude do descumprimento dos prazos previstos pela CVM para entrega de informações periódicas. Pelo Código ANBIMA de Regulação e Melhores Práticas de Fundos de Investimento, os administradores também podem ser multados e penalizados</w:t>
      </w:r>
    </w:p>
    <w:p w14:paraId="0E057F67" w14:textId="0094BA50" w:rsidR="009461D8" w:rsidRDefault="009461D8" w:rsidP="009461D8">
      <w:r>
        <w:t>O administrador deve informar ao cotista diariamente via site o valor da cota no dia; mensalmente, um extrato com informações gerais sobre a rentabilidade; anualmente, as demonstrações contábeis do fundo, bem como o informe de rendimentos para efeitos de declaração anual de ajuste de IR.</w:t>
      </w:r>
    </w:p>
    <w:p w14:paraId="64BC3D97" w14:textId="7DFE0BC3" w:rsidR="009461D8" w:rsidRDefault="009461D8" w:rsidP="009461D8">
      <w:r>
        <w:rPr>
          <w:noProof/>
        </w:rPr>
        <w:drawing>
          <wp:inline distT="0" distB="0" distL="0" distR="0" wp14:anchorId="5D36A0E0" wp14:editId="565B57DF">
            <wp:extent cx="5400040" cy="21717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171700"/>
                    </a:xfrm>
                    <a:prstGeom prst="rect">
                      <a:avLst/>
                    </a:prstGeom>
                    <a:noFill/>
                    <a:ln>
                      <a:noFill/>
                    </a:ln>
                  </pic:spPr>
                </pic:pic>
              </a:graphicData>
            </a:graphic>
          </wp:inline>
        </w:drawing>
      </w:r>
    </w:p>
    <w:p w14:paraId="1616331A" w14:textId="370F7601" w:rsidR="009461D8" w:rsidRDefault="00EF2807" w:rsidP="009461D8">
      <w:r w:rsidRPr="00EF2807">
        <w:t>Informações Periódicas dos Fundos de Investimento</w:t>
      </w:r>
    </w:p>
    <w:p w14:paraId="1742DA3B" w14:textId="1EE59A5F" w:rsidR="00EF2807" w:rsidRDefault="00EF2807" w:rsidP="00EF2807">
      <w:r>
        <w:t>PARA QUEM SE DESTINA AS INFORMAÇÕES PERIÓDICAS?</w:t>
      </w:r>
    </w:p>
    <w:p w14:paraId="6D23F7D1" w14:textId="695FFDDC" w:rsidR="00EF2807" w:rsidRDefault="00EF2807" w:rsidP="00EF2807">
      <w:r>
        <w:t>Com o objetivo de fornecer mais transparência para os investidores e ao público em geral, cada administrador de fundo de investimento tem a obrigação de encaminhar algumas informações periodicamente para os seus interessados que são: os cotistas, a CVM e a ANBIMA.</w:t>
      </w:r>
    </w:p>
    <w:p w14:paraId="17E701E4" w14:textId="77777777" w:rsidR="00EF2807" w:rsidRDefault="00EF2807" w:rsidP="00EF2807">
      <w:r>
        <w:t>Nesse sentido, a CVM, constituiu a instrução CVM 409 e 522, determinando regras para a divulgação de um conjunto de informações e de resultados dos fundos de investimento.</w:t>
      </w:r>
    </w:p>
    <w:p w14:paraId="14405023" w14:textId="77777777" w:rsidR="00EF2807" w:rsidRDefault="00EF2807" w:rsidP="00EF2807"/>
    <w:p w14:paraId="2DB4B0B9" w14:textId="2709A4D9" w:rsidR="00EF2807" w:rsidRDefault="00EF2807" w:rsidP="00EF2807">
      <w:r>
        <w:lastRenderedPageBreak/>
        <w:t>E QUAIS SÃO ESSAS INFORMAÇÕES E COMO SÃO DISPONIBILIZADAS</w:t>
      </w:r>
    </w:p>
    <w:p w14:paraId="140B12F7" w14:textId="3805D8F9" w:rsidR="00EF2807" w:rsidRDefault="00EF2807" w:rsidP="00EF2807">
      <w:r>
        <w:t>O cotista recebe essas informações por meio eletrônico, pelo site do administrador ou distribuidor do fundo/cotas. Já a CVM e a ANBIMA recebem diariamente as informações sobre patrimônio, número de cotistas e valor da cota dos fundos de investimento. A CVM também recebe periodicamente informações sobre a composição das carteiras dos fundos registrados, que também devem ser disponibilizadas para o público.</w:t>
      </w:r>
    </w:p>
    <w:p w14:paraId="34C7DA3D" w14:textId="53618E84" w:rsidR="00EF2807" w:rsidRDefault="00EF2807" w:rsidP="00EF2807">
      <w:r>
        <w:t>O administrador está obrigado também a disponibilizar as informações do fundo, inclusive as relativas à composição da carteira, de forma equânime entre todos os cotistas.</w:t>
      </w:r>
    </w:p>
    <w:p w14:paraId="545BB28E" w14:textId="60A5316C" w:rsidR="00EF2807" w:rsidRDefault="00EF2807" w:rsidP="00EF2807">
      <w:r>
        <w:t>Mas existe alguma penalidade caso o administrador não encaminhe as informações? Sim! Caso seja descumprido algum prazo estabelecido pela CVM para entrega de informações periódicas, o administrador do fundo será multado por R$ 500,00/dia.</w:t>
      </w:r>
    </w:p>
    <w:p w14:paraId="473BBEF4" w14:textId="3C65E369" w:rsidR="00EF2807" w:rsidRDefault="00EF2807" w:rsidP="00EF2807">
      <w:r>
        <w:t>Além das informações destinadas aos cotistas, os administradores devem remeter para a CVM as demonstrações contábeis e o Extrato de Informações sobre o Fundo, com informações básicas do fundo. Essas informações ficam disponíveis para o investidor em “Fundos de Investimento”, no site da CVM. Ainda, as demonstrações contábeis devem ser colocadas à disposição de qualquer interessado, no prazo de 90 (noventa) dias após o encerramento do exercício.</w:t>
      </w:r>
    </w:p>
    <w:p w14:paraId="672ED176" w14:textId="2BD2118E" w:rsidR="00EF2807" w:rsidRDefault="00EF2807" w:rsidP="00EF2807">
      <w:r>
        <w:t>O administrador deve informar e divulgar diariamente o valor da cota e do patrimônio líquido do fundo aberto. Enviar mensalmente aos cotistas o extrato da sua conta contendo o saldo e valor das cotas no início e no final do período e a movimentação ocorrida ao longo do mesmo, além da rentabilidade do fundo auferida entre o último dia útil do mês anterior e o último dia útil do mês de referência do extrato (o cotista pode optar pelo não recebimento do extrato). Além disso, todo o ano o administrador deve enviar aos cotistas a demonstração de desempenho do fundo e à CVM as demonstrações contábeis devidamente acompanhadas do parecer do auditor independente.</w:t>
      </w:r>
    </w:p>
    <w:p w14:paraId="34F84955" w14:textId="0CF5C40B" w:rsidR="00EF2807" w:rsidRDefault="00EF2807" w:rsidP="00EF2807">
      <w:r>
        <w:rPr>
          <w:noProof/>
        </w:rPr>
        <w:drawing>
          <wp:inline distT="0" distB="0" distL="0" distR="0" wp14:anchorId="570B6128" wp14:editId="31C33C0B">
            <wp:extent cx="5400040" cy="2409825"/>
            <wp:effectExtent l="0" t="0" r="0"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2409825"/>
                    </a:xfrm>
                    <a:prstGeom prst="rect">
                      <a:avLst/>
                    </a:prstGeom>
                    <a:noFill/>
                    <a:ln>
                      <a:noFill/>
                    </a:ln>
                  </pic:spPr>
                </pic:pic>
              </a:graphicData>
            </a:graphic>
          </wp:inline>
        </w:drawing>
      </w:r>
    </w:p>
    <w:p w14:paraId="4B6E8A53" w14:textId="6554D54F" w:rsidR="00EF2807" w:rsidRDefault="007A3B8F" w:rsidP="00EF2807">
      <w:r w:rsidRPr="007A3B8F">
        <w:t>Normas de Conduta, Vedações e Obrigações do Administrador</w:t>
      </w:r>
    </w:p>
    <w:p w14:paraId="36F165B9" w14:textId="77777777" w:rsidR="007A3B8F" w:rsidRDefault="007A3B8F" w:rsidP="007A3B8F">
      <w:r>
        <w:t>QUAIS SÃO AS NORMAS DE CONDUTAS DOS ADMINISTRADORES E GESTORES DOS FUNDOS DE INVESTIMENOS?</w:t>
      </w:r>
    </w:p>
    <w:p w14:paraId="65D84192" w14:textId="77777777" w:rsidR="007A3B8F" w:rsidRDefault="007A3B8F" w:rsidP="007A3B8F"/>
    <w:p w14:paraId="40BF2FE7" w14:textId="7C617647" w:rsidR="007A3B8F" w:rsidRDefault="007A3B8F" w:rsidP="007A3B8F">
      <w:r>
        <w:lastRenderedPageBreak/>
        <w:t>Em síntese o administrador e gestor dos Fundos de Investimentos devem atuar como se administrassem seus próprios negócios, agindo com lealdade aos interesses dos cotistas, exercendo todos os direitos decorrentes do patrimônio e das atividades do fundo e empregando todas as diligências necessárias para isso, inclusive ingressando com as medidas judiciais cabíveis quando necessário.</w:t>
      </w:r>
    </w:p>
    <w:p w14:paraId="1608ED52" w14:textId="659ABD6A" w:rsidR="007A3B8F" w:rsidRDefault="007A3B8F" w:rsidP="007A3B8F">
      <w:r>
        <w:t>QUAIS AS SUAS OBRIGAÇÕES?</w:t>
      </w:r>
    </w:p>
    <w:p w14:paraId="61CAB3D2" w14:textId="0855FB6A" w:rsidR="007A3B8F" w:rsidRDefault="007A3B8F" w:rsidP="007A3B8F">
      <w:r>
        <w:t>O administrador e o gestor devem transferir ao fundo qualquer benefício ou vantagem que possam alcançar em decorrência de sua condição.</w:t>
      </w:r>
    </w:p>
    <w:p w14:paraId="0BE3FECC" w14:textId="2999B232" w:rsidR="007A3B8F" w:rsidRDefault="007A3B8F" w:rsidP="007A3B8F">
      <w:r>
        <w:t>Além disso, o administrador precisa estar sempre atento aos interesses dos clientes, e defender os mesmos. Ele, junto com o gestor, precisa tomar medidas para reduzir o provável impacto de uma perda no patrimônio do fundo. Quando investimos nossos recursos por meio de um fundo de investimento, estamos delegando ao administrador e as pessoas envolvidas que invistam nosso capital e defenda nossos interesses, certo?</w:t>
      </w:r>
    </w:p>
    <w:p w14:paraId="138769CD" w14:textId="6BD370C2" w:rsidR="007A3B8F" w:rsidRDefault="007A3B8F" w:rsidP="007A3B8F">
      <w:r>
        <w:t>E QUAIS SÃO AS SUAS VEDAÇÕES?</w:t>
      </w:r>
    </w:p>
    <w:p w14:paraId="1241F9D9" w14:textId="2894B43E" w:rsidR="007A3B8F" w:rsidRDefault="007A3B8F" w:rsidP="007A3B8F">
      <w:r>
        <w:t>Com exceção do fundo de investimento em cotas que invista mais de 95% em um único fundo de investimento, bem como os fundos exclusivamente destinados a investidores profissionais, aos demais fica vedado as partes relacionadas o recebimento de privilégios, ou dinheiro, para facilitar ou realizar alguma operação que possa vir a prejudicar o interesse dos cotistas.</w:t>
      </w:r>
    </w:p>
    <w:p w14:paraId="022CC4BD" w14:textId="48560F45" w:rsidR="007A3B8F" w:rsidRDefault="007A3B8F" w:rsidP="007A3B8F">
      <w:r>
        <w:t>Em caso de mudanças no regulamento do fundo, ou até mesmo na administração, será necessário realizar uma consulta junto aos cotistas para deliberar sobre tais mudanças, uma vez que fatos como esses, podem ser de interesse dos investidores.</w:t>
      </w:r>
    </w:p>
    <w:p w14:paraId="0C7530E1" w14:textId="1470D989" w:rsidR="007A3B8F" w:rsidRDefault="007A3B8F" w:rsidP="007A3B8F">
      <w:r>
        <w:t>Confere aí a Seção V completa da Instrução 555 CVM que trata sobre as normas de condutas:</w:t>
      </w:r>
    </w:p>
    <w:p w14:paraId="7915BBE2" w14:textId="4DBADB03" w:rsidR="007A3B8F" w:rsidRDefault="007A3B8F" w:rsidP="007A3B8F">
      <w:r>
        <w:t>“Art. 92. O administrador e o gestor, nas suas respectivas esferas de atuação, estão obrigados a adotar as seguintes normas de conduta:</w:t>
      </w:r>
    </w:p>
    <w:p w14:paraId="129EDA29" w14:textId="73A9A20E" w:rsidR="007A3B8F" w:rsidRDefault="007A3B8F" w:rsidP="007A3B8F">
      <w:r>
        <w:t>I – exercer suas atividades buscando sempre as melhores condições para o fundo, empregando o cuidado e a diligência que todo homem ativo e probo costuma dispensar à administração de seus próprios negócios, atuando com lealdade em relação aos interesses dos cotistas e do fundo, evitando práticas que possam ferir a relação fiduciária com eles mantida, e respondendo por quaisquer infrações ou irregularidades que venham a ser cometidas sob sua administração ou gestão;</w:t>
      </w:r>
    </w:p>
    <w:p w14:paraId="48DF8DFC" w14:textId="6F8867CA" w:rsidR="007A3B8F" w:rsidRDefault="007A3B8F" w:rsidP="007A3B8F">
      <w:r>
        <w:t>II – exercer, ou diligenciar para que sejam exercidos, todos os direitos decorrentes do patrimônio e das atividades do fundo, ressalvado o que dispuser o regulamento sobre a política relativa ao exercício de direito de voto do fundo; e</w:t>
      </w:r>
    </w:p>
    <w:p w14:paraId="765CDAC5" w14:textId="68D9330D" w:rsidR="007A3B8F" w:rsidRDefault="007A3B8F" w:rsidP="007A3B8F">
      <w:r>
        <w:t>III – empregar, na defesa dos direitos do cotista, a diligência exigida pelas circunstâncias, praticando todos os atos necessários para assegurá-los, e adotando as medidas judiciais cabíveis.</w:t>
      </w:r>
    </w:p>
    <w:p w14:paraId="6B0014A4" w14:textId="5722B07B" w:rsidR="007A3B8F" w:rsidRDefault="007A3B8F" w:rsidP="007A3B8F">
      <w:r>
        <w:t>§1º Sem prejuízo da remuneração que é devida ao administrador e ao gestor na qualidade de prestadores de serviços do fundo, o administrador e o gestor devem transferir ao fundo qualquer benefício ou vantagem que possam alcançar em decorrência de sua condição.</w:t>
      </w:r>
    </w:p>
    <w:p w14:paraId="044F80B1" w14:textId="1F3BE090" w:rsidR="007A3B8F" w:rsidRDefault="007A3B8F" w:rsidP="007A3B8F">
      <w:r>
        <w:t xml:space="preserve">§ 2º É vedado ao administrador, ao gestor e ao consultor o recebimento de qualquer remuneração, benefício ou vantagem, direta ou indiretamente por meio de partes </w:t>
      </w:r>
      <w:r>
        <w:lastRenderedPageBreak/>
        <w:t>relacionadas, que potencialmente prejudique a independência na tomada de decisão de investimento pelo fundo.</w:t>
      </w:r>
    </w:p>
    <w:p w14:paraId="6080C54E" w14:textId="6E391733" w:rsidR="007A3B8F" w:rsidRDefault="007A3B8F" w:rsidP="007A3B8F">
      <w:r>
        <w:t>§ 3º A vedação de que trata o § 2º não incide sobre investimentos realizados por:</w:t>
      </w:r>
    </w:p>
    <w:p w14:paraId="6CD6B30C" w14:textId="34C1146B" w:rsidR="007A3B8F" w:rsidRDefault="007A3B8F" w:rsidP="007A3B8F">
      <w:r>
        <w:t>I – fundo de investimento em cotas de fundo de investimento que invista mais de 95% (noventa e cinco por cento) de seu patrimônio em um único fundo de investimento; ou</w:t>
      </w:r>
    </w:p>
    <w:p w14:paraId="028818A9" w14:textId="42037BC7" w:rsidR="007A3B8F" w:rsidRDefault="007A3B8F" w:rsidP="007A3B8F">
      <w:r>
        <w:t>II – fundos de investimento exclusivamente destinados a investidores profissionais, desde que a totalidade dos cotistas assine termo de ciência, nos termos do Anexo 92.”</w:t>
      </w:r>
    </w:p>
    <w:p w14:paraId="1AB0500C" w14:textId="207B7243" w:rsidR="007A3B8F" w:rsidRDefault="007A3B8F" w:rsidP="007A3B8F">
      <w:r>
        <w:rPr>
          <w:noProof/>
        </w:rPr>
        <w:drawing>
          <wp:inline distT="0" distB="0" distL="0" distR="0" wp14:anchorId="3DF2481C" wp14:editId="63930A1A">
            <wp:extent cx="5391150" cy="295275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1150" cy="2952750"/>
                    </a:xfrm>
                    <a:prstGeom prst="rect">
                      <a:avLst/>
                    </a:prstGeom>
                    <a:noFill/>
                    <a:ln>
                      <a:noFill/>
                    </a:ln>
                  </pic:spPr>
                </pic:pic>
              </a:graphicData>
            </a:graphic>
          </wp:inline>
        </w:drawing>
      </w:r>
    </w:p>
    <w:p w14:paraId="3ADB3142" w14:textId="0D8193C9" w:rsidR="007A3B8F" w:rsidRDefault="00094406" w:rsidP="007A3B8F">
      <w:r w:rsidRPr="00094406">
        <w:t>Funções dentro do Fundo de Investimento</w:t>
      </w:r>
    </w:p>
    <w:p w14:paraId="5D81D89D" w14:textId="62B7DABC" w:rsidR="00094406" w:rsidRDefault="00094406" w:rsidP="00094406">
      <w:r>
        <w:t>QUAL A FUNÇÃO DO ADMINISTRADOR E DEMAIS PARTICIPANTES DOS FUNDOS DE INVESTIMENTOS?</w:t>
      </w:r>
    </w:p>
    <w:p w14:paraId="4DB3B3AD" w14:textId="1702D526" w:rsidR="00094406" w:rsidRDefault="00094406" w:rsidP="00094406">
      <w:r>
        <w:t>§ ADMINISTRADOR: A administração de um Fundo de Investimento inclui um conjunto de serviços relacionados direta ou indiretamente ao funcionamento e à manutenção dele, podendo ser prestados pelo próprio administrador ou por terceiros que ele contratar em nome do fundo. O administrador tem poderes para praticar os atos necessários ao funcionamento do fundo, sendo responsável pela sua constituição e pela prestação de informações à CVM.</w:t>
      </w:r>
    </w:p>
    <w:p w14:paraId="73195388" w14:textId="1E7F5C40" w:rsidR="00094406" w:rsidRDefault="00094406" w:rsidP="00094406">
      <w:r>
        <w:t>Podem ser administradores de Fundo de Investimento as Pessoas Jurídicas autorizadas pela CVM para o exercício profissional de administração de carteiras de valores mobiliários. O administrador pode contratar, em nome do fundo, terceiros devidamente habilitados e autorizados a prestarem os seguintes serviços para o fundo:</w:t>
      </w:r>
    </w:p>
    <w:p w14:paraId="6561391F" w14:textId="39F2464A" w:rsidR="00094406" w:rsidRDefault="00094406" w:rsidP="00094406">
      <w:r>
        <w:rPr>
          <w:rFonts w:ascii="Segoe UI Symbol" w:hAnsi="Segoe UI Symbol" w:cs="Segoe UI Symbol"/>
        </w:rPr>
        <w:t>⯀</w:t>
      </w:r>
      <w:r>
        <w:t xml:space="preserve"> GESTOR: responsável pela compra e venda dos ativos do fundo (gestão) segundo política de investimento estabelecida em regulamento. Quando há aplicação no fundo, cabe ao gestor comprar ativos para a carteira. Quando houver resgate, o gestor terá́ que vender ativos da carteira;</w:t>
      </w:r>
    </w:p>
    <w:p w14:paraId="75EEFEB8" w14:textId="2AB69802" w:rsidR="00094406" w:rsidRDefault="00094406" w:rsidP="00094406">
      <w:r>
        <w:rPr>
          <w:rFonts w:ascii="Segoe UI Symbol" w:hAnsi="Segoe UI Symbol" w:cs="Segoe UI Symbol"/>
        </w:rPr>
        <w:t>⯀</w:t>
      </w:r>
      <w:r>
        <w:t xml:space="preserve"> DISTRIBUIÇÃO DE COTAS: responsável por vender as cotas dos fundos aos investidores. O distribuidor é responsável por captar recursos no mercado para o fundo e, para isso, precisa </w:t>
      </w:r>
      <w:r>
        <w:lastRenderedPageBreak/>
        <w:t>conhecer detalhadamente a política e o objetivo do fundo para que possa recomendar aos investidores de acordo com o perfil e objetivo dos mesmos.</w:t>
      </w:r>
    </w:p>
    <w:p w14:paraId="09C3DECE" w14:textId="7005D483" w:rsidR="00094406" w:rsidRDefault="00094406" w:rsidP="00094406">
      <w:r>
        <w:rPr>
          <w:rFonts w:ascii="Segoe UI Symbol" w:hAnsi="Segoe UI Symbol" w:cs="Segoe UI Symbol"/>
        </w:rPr>
        <w:t>⯀</w:t>
      </w:r>
      <w:r>
        <w:t xml:space="preserve"> CUSTÓDIA DE ATIVOS: responsável por, como o nome sugere, guardar a posição do fundo. O fundo diariamente tem movimentação de quantidade de cotas, quantidade e valor dos ativos. O custodiante deve registrar essas transações e marcar as cotas pelo valor de mercado;</w:t>
      </w:r>
    </w:p>
    <w:p w14:paraId="57EF3641" w14:textId="5E72AA8D" w:rsidR="00094406" w:rsidRDefault="00094406" w:rsidP="00094406">
      <w:r>
        <w:rPr>
          <w:rFonts w:ascii="Segoe UI Symbol" w:hAnsi="Segoe UI Symbol" w:cs="Segoe UI Symbol"/>
        </w:rPr>
        <w:t>⯀</w:t>
      </w:r>
      <w:r>
        <w:t xml:space="preserve"> AUDITOR INDEPENDENTE: responsável por auditar as demonstrações contábeis apresentadas pelo administrador. Como o nome sugere, o serviço de auditoria deve, obrigatoriamente, ser prestado por uma empresa ou profissional independente.</w:t>
      </w:r>
    </w:p>
    <w:p w14:paraId="3BBA3CD5" w14:textId="4EB7061F" w:rsidR="00094406" w:rsidRDefault="00094406" w:rsidP="00094406">
      <w:r>
        <w:t>Além os profissionais (ou empresas) listadas acima, o administrador pode contratar para o fundo:</w:t>
      </w:r>
    </w:p>
    <w:p w14:paraId="45167A4B" w14:textId="3B453FAA" w:rsidR="00094406" w:rsidRDefault="00094406" w:rsidP="00094406">
      <w:r>
        <w:rPr>
          <w:rFonts w:ascii="Segoe UI Symbol" w:hAnsi="Segoe UI Symbol" w:cs="Segoe UI Symbol"/>
        </w:rPr>
        <w:t>⯀</w:t>
      </w:r>
      <w:r>
        <w:t xml:space="preserve"> consultoria de investimentos: o fundo pode contratar, por iniciativa do administrador ou dos cotistas, um conselho consultivo ou comitê técnico de investimento que contribuirá com o gestor na decisão de investimento.</w:t>
      </w:r>
    </w:p>
    <w:p w14:paraId="64D52CEF" w14:textId="7E69C8B2" w:rsidR="00094406" w:rsidRDefault="00094406" w:rsidP="00094406">
      <w:r>
        <w:rPr>
          <w:rFonts w:ascii="Segoe UI Symbol" w:hAnsi="Segoe UI Symbol" w:cs="Segoe UI Symbol"/>
        </w:rPr>
        <w:t>⯀</w:t>
      </w:r>
      <w:r>
        <w:t xml:space="preserve"> atividades de tesouraria, controle e processamento dos ativos financeiros: responsável por controlar e registrar o caixa do fundo para liquidação das cotas. Quando o fundo for administrado por instituição financeira é dispensada, a contratação do serviço de tesouraria.</w:t>
      </w:r>
    </w:p>
    <w:p w14:paraId="1B551B19" w14:textId="2EFEC21E" w:rsidR="00094406" w:rsidRDefault="00094406" w:rsidP="00094406">
      <w:r>
        <w:rPr>
          <w:rFonts w:ascii="Segoe UI Symbol" w:hAnsi="Segoe UI Symbol" w:cs="Segoe UI Symbol"/>
        </w:rPr>
        <w:t>⯀</w:t>
      </w:r>
      <w:r>
        <w:t xml:space="preserve"> escrituração da emissão e do resgate de cotas: responsável por registrar o lançamento de novas cotas e a liquidação das cotas quando do resgate.</w:t>
      </w:r>
    </w:p>
    <w:p w14:paraId="51FF4EA7" w14:textId="28570F9D" w:rsidR="00094406" w:rsidRDefault="00094406" w:rsidP="00094406">
      <w:r>
        <w:rPr>
          <w:rFonts w:ascii="Segoe UI Symbol" w:hAnsi="Segoe UI Symbol" w:cs="Segoe UI Symbol"/>
        </w:rPr>
        <w:t>⯀</w:t>
      </w:r>
      <w:r>
        <w:t xml:space="preserve"> classificação de risco por agência de classificação de risco de crédito: agência que vai classificar o nível de risco dos ativos que compõem a carteira do fundo;</w:t>
      </w:r>
    </w:p>
    <w:p w14:paraId="2966114B" w14:textId="6AA81EEB" w:rsidR="00094406" w:rsidRDefault="00094406" w:rsidP="00094406">
      <w:r>
        <w:rPr>
          <w:rFonts w:ascii="Segoe UI Symbol" w:hAnsi="Segoe UI Symbol" w:cs="Segoe UI Symbol"/>
        </w:rPr>
        <w:t>⯀</w:t>
      </w:r>
      <w:r>
        <w:t xml:space="preserve"> formador de mercado: com objetivo de aumentar a liquidez do Fundo de Investimento o formador de mercado assume a obrigação de colocar no mercado, diariamente, ofertas firmes de compra e de venda para uma quantidade de cotas pré-determinadas conhecida por todos (mais utilizados para fundos fechados com cotas negociadas na B3).</w:t>
      </w:r>
    </w:p>
    <w:p w14:paraId="0F4CE44A" w14:textId="287EED01" w:rsidR="00094406" w:rsidRDefault="00094406" w:rsidP="00094406">
      <w:r>
        <w:t>O administrador do fundo tem a responsabilidade solidária com os prestadores de serviço que contratar, por eventuais prejuízos causados aos cotistas, em virtude de condutas contrárias à lei, ao regulamento ou aos atos norma vos expedidos pela CVM. A contratação de prestadores de serviço devidamente habilitados é faculdade do fundo, sendo obrigatória a contratação dos serviços de auditoria independente.</w:t>
      </w:r>
    </w:p>
    <w:p w14:paraId="610EA2D4" w14:textId="3284B776" w:rsidR="00094406" w:rsidRDefault="00094406" w:rsidP="00094406">
      <w:r>
        <w:t>O administrador e o gestor possuem liberdade de tomar decisões que, em mãos erradas, podem trazer prejuízo aos cotistas do fundo. Para evitar problemas dessa natureza, a CVM criou normas de conduta que devem ser rigorosamente observadas e cumpridas, conforme a seguir:</w:t>
      </w:r>
    </w:p>
    <w:p w14:paraId="7ED382D7" w14:textId="1FFFC712" w:rsidR="00094406" w:rsidRDefault="00094406" w:rsidP="00094406">
      <w:r>
        <w:rPr>
          <w:rFonts w:ascii="Segoe UI Symbol" w:hAnsi="Segoe UI Symbol" w:cs="Segoe UI Symbol"/>
        </w:rPr>
        <w:t>⯀</w:t>
      </w:r>
      <w:r>
        <w:t xml:space="preserve"> exercer suas atividades buscando sempre as melhores condições para o fundo, empregando o cuidado e a diligência que toda pessoa ativa e honesta costuma dispensar à administração de seus próprios negócios;</w:t>
      </w:r>
    </w:p>
    <w:p w14:paraId="6AC1485B" w14:textId="0A34A08C" w:rsidR="00094406" w:rsidRDefault="00094406" w:rsidP="00094406">
      <w:r>
        <w:rPr>
          <w:rFonts w:ascii="Segoe UI Symbol" w:hAnsi="Segoe UI Symbol" w:cs="Segoe UI Symbol"/>
        </w:rPr>
        <w:t>⯀</w:t>
      </w:r>
      <w:r>
        <w:t xml:space="preserve"> atuar com lealdade em relação aos interesses dos cotistas e do fundo, evitando práticas que possam ferir a relação fiduciária com eles mantida, respondendo por quaisquer infrações ou irregularidades que venham a ser cometidas sob sua administração ou gestão;</w:t>
      </w:r>
    </w:p>
    <w:p w14:paraId="22AC08DA" w14:textId="5DC5D977" w:rsidR="00094406" w:rsidRDefault="00094406" w:rsidP="00094406">
      <w:r>
        <w:rPr>
          <w:rFonts w:ascii="Segoe UI Symbol" w:hAnsi="Segoe UI Symbol" w:cs="Segoe UI Symbol"/>
        </w:rPr>
        <w:lastRenderedPageBreak/>
        <w:t>⯀</w:t>
      </w:r>
      <w:r>
        <w:t xml:space="preserve"> exercer, ou diligenciar para que sejam exercidos, todos os direitos decorrentes do patrimônio e das atividades do fundo, ressalvado o que dispuser o formulário de informações complementares sobre a política relativa ao exercício de direito de voto do fundo;</w:t>
      </w:r>
    </w:p>
    <w:p w14:paraId="6C560636" w14:textId="540B0977" w:rsidR="00094406" w:rsidRDefault="00094406" w:rsidP="00094406">
      <w:r>
        <w:rPr>
          <w:rFonts w:ascii="Segoe UI Symbol" w:hAnsi="Segoe UI Symbol" w:cs="Segoe UI Symbol"/>
        </w:rPr>
        <w:t>⯀</w:t>
      </w:r>
      <w:r>
        <w:t xml:space="preserve"> empregar, na defesa dos direitos do cotista, a diligência exigida pelas circunstancias, praticando todos os atos necessários para assegurá-los e adotando as medidas judiciais cabíveis;</w:t>
      </w:r>
    </w:p>
    <w:p w14:paraId="1C165F0C" w14:textId="5789944C" w:rsidR="00094406" w:rsidRDefault="00094406" w:rsidP="00094406">
      <w:r>
        <w:rPr>
          <w:rFonts w:ascii="Segoe UI Symbol" w:hAnsi="Segoe UI Symbol" w:cs="Segoe UI Symbol"/>
        </w:rPr>
        <w:t>⯀</w:t>
      </w:r>
      <w:r>
        <w:t xml:space="preserve"> sem prejuízo da remuneração que é devida ao administrador e ao gestor na qualidade de prestadores de serviços do fundo, esses agentes devem transferir ao fundo qualquer benefício ou vantagem que possam alcançar em decorrência de sua condição;</w:t>
      </w:r>
    </w:p>
    <w:p w14:paraId="08C24022" w14:textId="0B8DBC9D" w:rsidR="00094406" w:rsidRDefault="00094406" w:rsidP="00094406">
      <w:r>
        <w:t>Em resumo, as condutas do gestor e do administrador estão associadas ao cuidado que ambos têm de empreender ao gerir o recurso do investidor. Em última análise, seria “cuidar do dinheiro do investidor como se fosse o seu”.</w:t>
      </w:r>
    </w:p>
    <w:p w14:paraId="1FF0E586" w14:textId="4676FC9C" w:rsidR="00094406" w:rsidRDefault="00094406" w:rsidP="00094406">
      <w:r>
        <w:t>Citei acima o que o administrador e gestor tem de fazer, agora cito o que é vedado para ele:</w:t>
      </w:r>
    </w:p>
    <w:p w14:paraId="1F194017" w14:textId="5C42D90D" w:rsidR="00094406" w:rsidRDefault="00094406" w:rsidP="00094406">
      <w:r>
        <w:rPr>
          <w:rFonts w:ascii="Segoe UI Symbol" w:hAnsi="Segoe UI Symbol" w:cs="Segoe UI Symbol"/>
        </w:rPr>
        <w:t>⯀</w:t>
      </w:r>
      <w:r>
        <w:t xml:space="preserve"> é vedado ao administrador, ao gestor e ao consultor o recebimento de remuneração, benefício ou vantagem, direta ou indiretamente por meio de partes relacionadas, que potencialmente prejudique a independência na tomada de decisão de investimento pelo fundo.</w:t>
      </w:r>
    </w:p>
    <w:p w14:paraId="25872373" w14:textId="6575336D" w:rsidR="00094406" w:rsidRDefault="00094406" w:rsidP="00094406">
      <w:r>
        <w:rPr>
          <w:rFonts w:ascii="Segoe UI Symbol" w:hAnsi="Segoe UI Symbol" w:cs="Segoe UI Symbol"/>
        </w:rPr>
        <w:t>⯀</w:t>
      </w:r>
      <w:r>
        <w:t xml:space="preserve"> a vedação não incide sobre investimentos realizados por: fundo de investimento em cotas de Fundo de Investimento que invistam mais de 95% de seu patrimônio em um único fundo; ou Fundos de Investimento exclusivamente destinados a investidores profissionais, desde que a totalidade dos cotistas assine termo de ciência.</w:t>
      </w:r>
    </w:p>
    <w:p w14:paraId="406A5163" w14:textId="18969F97" w:rsidR="00094406" w:rsidRDefault="00094406" w:rsidP="00094406">
      <w:r>
        <w:t>Em resumo, o administrador e o gestor devem ter conhecimento das regras estabelecidas pela CVM sobre o exercício da atividade de administração de carteira de valores mobiliários. O papel deles é zelar pela integridade do fundo, assegurar que as ações tomadas estejam de acordo com a política de investimento para ele e, acima de tudo, proteger os interesses dos cotistas.</w:t>
      </w:r>
    </w:p>
    <w:p w14:paraId="11161587" w14:textId="49BAA69D" w:rsidR="00094406" w:rsidRDefault="00094406" w:rsidP="00094406">
      <w:r>
        <w:t>OBS: o administrador e o gestor não são responsáveis por restituir ao fundo eventuais prejuízos ocorridos em investimentos realizados em ativos que estejam alinhados com o objetivo e a política de investimento do fundo.</w:t>
      </w:r>
    </w:p>
    <w:p w14:paraId="3F0F3FA4" w14:textId="424F4686" w:rsidR="00094406" w:rsidRDefault="00094406" w:rsidP="00094406">
      <w:r>
        <w:t>O administrador e o gestor da carteira do fundo devem ser substituídos caso sejam descredenciados para o exercício da atividade de administração de carteiras de valores mobiliários, por decisão da CVM, renúncia ou destituição, por deliberação da assembleia geral.</w:t>
      </w:r>
    </w:p>
    <w:p w14:paraId="76514F8E" w14:textId="1FEE2864" w:rsidR="00094406" w:rsidRDefault="00094406" w:rsidP="00094406">
      <w:r>
        <w:rPr>
          <w:noProof/>
        </w:rPr>
        <w:lastRenderedPageBreak/>
        <w:drawing>
          <wp:inline distT="0" distB="0" distL="0" distR="0" wp14:anchorId="3D021A51" wp14:editId="6A9901EF">
            <wp:extent cx="5391150" cy="279082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1150" cy="2790825"/>
                    </a:xfrm>
                    <a:prstGeom prst="rect">
                      <a:avLst/>
                    </a:prstGeom>
                    <a:noFill/>
                    <a:ln>
                      <a:noFill/>
                    </a:ln>
                  </pic:spPr>
                </pic:pic>
              </a:graphicData>
            </a:graphic>
          </wp:inline>
        </w:drawing>
      </w:r>
    </w:p>
    <w:p w14:paraId="0E90546E" w14:textId="19D7871C" w:rsidR="00094406" w:rsidRDefault="000B49F4" w:rsidP="00094406">
      <w:r w:rsidRPr="000B49F4">
        <w:t>Dinâmicas de Aplicação e Resgate ,Cota de Abertura e Fechamento</w:t>
      </w:r>
    </w:p>
    <w:p w14:paraId="359B23FD" w14:textId="76D100A6" w:rsidR="000B49F4" w:rsidRDefault="000B49F4" w:rsidP="000B49F4">
      <w:r>
        <w:t>Dinâmicas de aplicação e resgate</w:t>
      </w:r>
    </w:p>
    <w:p w14:paraId="4065FE1D" w14:textId="1FFAE286" w:rsidR="000B49F4" w:rsidRDefault="000B49F4" w:rsidP="000B49F4">
      <w:r>
        <w:t xml:space="preserve"> Quando o investidor investe seu dinheiro em um fundo, o que é feito na prática, é a compra de cotas desse fundo para que essas valorizem ao longo do tempo. E de acordo com o resultado dos ativos que compõem a carteira do fundo.</w:t>
      </w:r>
    </w:p>
    <w:p w14:paraId="5D6380E8" w14:textId="20C42637" w:rsidR="000B49F4" w:rsidRDefault="000B49F4" w:rsidP="000B49F4">
      <w:r>
        <w:t>O contrário é verdadeiro: ao resgatar seus recursos, o investidor está, na prática, vendendo suas cotas. O preço de compra e de venda das cotas deve refletir a variação dos ativos que compõem a carteira do fundo. No entanto, o preço das cotas será definido no momento de abertura do mercado ou de fechamento</w:t>
      </w:r>
    </w:p>
    <w:p w14:paraId="5748C7B9" w14:textId="6361248D" w:rsidR="000B49F4" w:rsidRDefault="000B49F4" w:rsidP="000B49F4">
      <w:r>
        <w:t xml:space="preserve">Cota de Abertura </w:t>
      </w:r>
    </w:p>
    <w:p w14:paraId="3CCF6B76" w14:textId="1A499313" w:rsidR="000B49F4" w:rsidRDefault="000B49F4" w:rsidP="000B49F4">
      <w:r>
        <w:t>Chamamos de cota de abertura aquela que já é conhecida no início do dia. O seu cálculo é feito com base no valor do patrimônio líquido do fundo no dia anterior, acrescido da variação do DI de um dia. Esse tipo de fundo permite ao investidor saber com antecedência o valor que pagará pela cota (em caso de investimento) ou receberá (em caso de resgate).</w:t>
      </w:r>
    </w:p>
    <w:p w14:paraId="30DC785D" w14:textId="45EC6E20" w:rsidR="000B49F4" w:rsidRDefault="000B49F4" w:rsidP="000B49F4">
      <w:r>
        <w:t>Pelo fato do valor da cota ser conhecido na abertura do mercado e não haver mudança ao longo do dia, esse tipo de cota só é permitida em fundos que, por sua natureza, apresentam baixa volatilidade de preços dos ativos, sendo eles:</w:t>
      </w:r>
    </w:p>
    <w:p w14:paraId="12C7BE15" w14:textId="139C0464" w:rsidR="000B49F4" w:rsidRDefault="000B49F4" w:rsidP="000B49F4">
      <w:r>
        <w:rPr>
          <w:rFonts w:ascii="Segoe UI Symbol" w:hAnsi="Segoe UI Symbol" w:cs="Segoe UI Symbol"/>
        </w:rPr>
        <w:t>⯀</w:t>
      </w:r>
      <w:r>
        <w:t xml:space="preserve"> Fundo de Renda Fixa;</w:t>
      </w:r>
    </w:p>
    <w:p w14:paraId="438D102F" w14:textId="7D7D2B20" w:rsidR="000B49F4" w:rsidRDefault="000B49F4" w:rsidP="000B49F4">
      <w:r>
        <w:t xml:space="preserve"> </w:t>
      </w:r>
      <w:r>
        <w:rPr>
          <w:rFonts w:ascii="Segoe UI Symbol" w:hAnsi="Segoe UI Symbol" w:cs="Segoe UI Symbol"/>
        </w:rPr>
        <w:t>⯀</w:t>
      </w:r>
      <w:r>
        <w:t xml:space="preserve"> Fundos Exclusivos;</w:t>
      </w:r>
    </w:p>
    <w:p w14:paraId="066E28AE" w14:textId="7C9BBBB6" w:rsidR="000B49F4" w:rsidRDefault="000B49F4" w:rsidP="000B49F4">
      <w:r>
        <w:rPr>
          <w:rFonts w:ascii="Segoe UI Symbol" w:hAnsi="Segoe UI Symbol" w:cs="Segoe UI Symbol"/>
        </w:rPr>
        <w:t>⯀</w:t>
      </w:r>
      <w:r>
        <w:t xml:space="preserve"> Renda Fixa curto prazo; </w:t>
      </w:r>
    </w:p>
    <w:p w14:paraId="72084336" w14:textId="2730222C" w:rsidR="000B49F4" w:rsidRDefault="000B49F4" w:rsidP="000B49F4">
      <w:r>
        <w:rPr>
          <w:rFonts w:ascii="Segoe UI Symbol" w:hAnsi="Segoe UI Symbol" w:cs="Segoe UI Symbol"/>
        </w:rPr>
        <w:t>⯀</w:t>
      </w:r>
      <w:r>
        <w:t xml:space="preserve"> Renda Fixa referenciado; </w:t>
      </w:r>
    </w:p>
    <w:p w14:paraId="2E61EC02" w14:textId="684E7935" w:rsidR="000B49F4" w:rsidRDefault="000B49F4" w:rsidP="000B49F4">
      <w:r>
        <w:rPr>
          <w:rFonts w:ascii="Segoe UI Symbol" w:hAnsi="Segoe UI Symbol" w:cs="Segoe UI Symbol"/>
        </w:rPr>
        <w:t>⯀</w:t>
      </w:r>
      <w:r>
        <w:t xml:space="preserve"> Renda Fixa simples; </w:t>
      </w:r>
    </w:p>
    <w:p w14:paraId="2AE85AA7" w14:textId="258CD766" w:rsidR="000B49F4" w:rsidRDefault="000B49F4" w:rsidP="000B49F4">
      <w:r>
        <w:rPr>
          <w:rFonts w:ascii="Segoe UI Symbol" w:hAnsi="Segoe UI Symbol" w:cs="Segoe UI Symbol"/>
        </w:rPr>
        <w:t>⯀</w:t>
      </w:r>
      <w:r>
        <w:t xml:space="preserve"> Renda Fixa exceto longo prazo.</w:t>
      </w:r>
    </w:p>
    <w:p w14:paraId="2EEA8CF7" w14:textId="77777777" w:rsidR="000B49F4" w:rsidRDefault="000B49F4" w:rsidP="000B49F4">
      <w:r>
        <w:t xml:space="preserve">Cota de Fechamento  </w:t>
      </w:r>
    </w:p>
    <w:p w14:paraId="772EA077" w14:textId="77777777" w:rsidR="000B49F4" w:rsidRDefault="000B49F4" w:rsidP="000B49F4"/>
    <w:p w14:paraId="7C66F776" w14:textId="4B12D591" w:rsidR="000B49F4" w:rsidRDefault="000B49F4" w:rsidP="000B49F4">
      <w:r>
        <w:t>Diferente do fundo com cota de abertura, aqui o investidor só saberá o valor da cota no fechamento do dia. Em outras palavras, o valor da cota nesse tipo de fundo reflete toda a variação dos ativos no dia. O valor da cota é divulgado no fechamento do mercado. Esse tipo de precificação é obrigatório para fundos que apresentam maior oscilação em suas cotas..</w:t>
      </w:r>
    </w:p>
    <w:p w14:paraId="2C97FFDB" w14:textId="66738C11" w:rsidR="000B49F4" w:rsidRDefault="000B49F4" w:rsidP="000B49F4">
      <w:r>
        <w:rPr>
          <w:noProof/>
        </w:rPr>
        <w:drawing>
          <wp:inline distT="0" distB="0" distL="0" distR="0" wp14:anchorId="168A3137" wp14:editId="73090A47">
            <wp:extent cx="5394960" cy="22860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4960" cy="2286000"/>
                    </a:xfrm>
                    <a:prstGeom prst="rect">
                      <a:avLst/>
                    </a:prstGeom>
                    <a:noFill/>
                    <a:ln>
                      <a:noFill/>
                    </a:ln>
                  </pic:spPr>
                </pic:pic>
              </a:graphicData>
            </a:graphic>
          </wp:inline>
        </w:drawing>
      </w:r>
    </w:p>
    <w:p w14:paraId="79D14CBA" w14:textId="1CA466AE" w:rsidR="00436167" w:rsidRDefault="00944C9B" w:rsidP="000B49F4">
      <w:r w:rsidRPr="00944C9B">
        <w:t>Prazo de Cotização e Descotização</w:t>
      </w:r>
    </w:p>
    <w:p w14:paraId="092B3220" w14:textId="1FDD219A" w:rsidR="00944C9B" w:rsidRDefault="00944C9B" w:rsidP="00944C9B">
      <w:r>
        <w:t>PRAZO PARA COTIZAÇÃO E DESCOTIZAÇÃO</w:t>
      </w:r>
    </w:p>
    <w:p w14:paraId="70282473" w14:textId="1A17D899" w:rsidR="00944C9B" w:rsidRDefault="00944C9B" w:rsidP="00944C9B">
      <w:r>
        <w:t xml:space="preserve"> Como vimos há pouco, quando o investidor investe, ele compra cotas, e quando resgata, ele vende as cotas. Esse processo é chamado de cotização e descotização, respectivamente.</w:t>
      </w:r>
    </w:p>
    <w:p w14:paraId="7C2E2E36" w14:textId="2F9C4BE2" w:rsidR="00944C9B" w:rsidRDefault="00944C9B" w:rsidP="00944C9B">
      <w:r>
        <w:t xml:space="preserve">O regulamento do fundo deve prever ao cotista qual o prazo para a cotização e descotização. De forma que o rendimento do investidor seja contabilizado apenas após a conversão em cotas e cessa na descotização. </w:t>
      </w:r>
    </w:p>
    <w:p w14:paraId="7C836E1A" w14:textId="26E80F36" w:rsidR="00944C9B" w:rsidRDefault="00944C9B" w:rsidP="00944C9B">
      <w:r>
        <w:t xml:space="preserve">Mas, atenção: a descotização de cotas não pode ser confundida com o resgate. </w:t>
      </w:r>
    </w:p>
    <w:p w14:paraId="4CB48366" w14:textId="367AFA7B" w:rsidR="00944C9B" w:rsidRDefault="00944C9B" w:rsidP="00944C9B">
      <w:r>
        <w:t>Para os fundos com carência, o regulamente pode prever resgate antes do prazo de carência, com ou sem rendimento</w:t>
      </w:r>
    </w:p>
    <w:p w14:paraId="5BDA03E4" w14:textId="69D549BE" w:rsidR="00944C9B" w:rsidRDefault="00944C9B" w:rsidP="00944C9B">
      <w:r>
        <w:t>O valor a ser recebido na data de pagamento do resgate é referente ao valor da cota na data de conversão de cotas. Portanto, pode haver diferença entre o dia em que o investidor solicita o resgate, o dia em que o administrador calcula o valor da cota para pagamento e o dia do efetivo pagamento.</w:t>
      </w:r>
    </w:p>
    <w:p w14:paraId="4516A237" w14:textId="78D6F72C" w:rsidR="00944C9B" w:rsidRDefault="00944C9B" w:rsidP="00944C9B">
      <w:r>
        <w:t>Esses prazos constam no regulamento e na lâmina de informações essenciais. E é importante que você saiba que existe uma nomenclatura bastante utilizada no Mercado Financeiro e que também é usada para indicar, em dias úteis, os prazos para a realização de operações em geral.</w:t>
      </w:r>
    </w:p>
    <w:p w14:paraId="6698EBB5" w14:textId="6F646080" w:rsidR="00944C9B" w:rsidRDefault="00944C9B" w:rsidP="00944C9B">
      <w:r>
        <w:t>Por exemplo, no caso de resgate de fundos, podemos ter um fundo com as seguintes características indicadas na lâmina de informações</w:t>
      </w:r>
    </w:p>
    <w:p w14:paraId="33E04658" w14:textId="74AEC264" w:rsidR="00944C9B" w:rsidRDefault="00944C9B" w:rsidP="00944C9B">
      <w:r>
        <w:t xml:space="preserve">Exemplo 1: </w:t>
      </w:r>
    </w:p>
    <w:p w14:paraId="57B3C947" w14:textId="13350934" w:rsidR="00944C9B" w:rsidRDefault="00944C9B" w:rsidP="00944C9B">
      <w:r>
        <w:rPr>
          <w:rFonts w:ascii="Segoe UI Symbol" w:hAnsi="Segoe UI Symbol" w:cs="Segoe UI Symbol"/>
        </w:rPr>
        <w:t>⯀</w:t>
      </w:r>
      <w:r>
        <w:t xml:space="preserve"> data de conversão de cotas: D+0;</w:t>
      </w:r>
    </w:p>
    <w:p w14:paraId="004495F2" w14:textId="52EE18AA" w:rsidR="00944C9B" w:rsidRDefault="00944C9B" w:rsidP="00944C9B">
      <w:r>
        <w:rPr>
          <w:rFonts w:ascii="Segoe UI Symbol" w:hAnsi="Segoe UI Symbol" w:cs="Segoe UI Symbol"/>
        </w:rPr>
        <w:lastRenderedPageBreak/>
        <w:t>⯀</w:t>
      </w:r>
      <w:r>
        <w:t xml:space="preserve"> data para pagamento do resgate: D+3.</w:t>
      </w:r>
    </w:p>
    <w:p w14:paraId="44D69594" w14:textId="21DDBED1" w:rsidR="00944C9B" w:rsidRDefault="00944C9B" w:rsidP="00944C9B">
      <w:r>
        <w:t xml:space="preserve">Considerando que o dia D é o da solicitação do resgate, para este exemplo, o cálculo do valor das cotas é realizado no mesmo dia da solicitação (conversão em D+0), e o pagamento do resgate é realizado três dias úteis após a data de solicitação do resgate (D+3). </w:t>
      </w:r>
    </w:p>
    <w:p w14:paraId="4BC88679" w14:textId="1E4A4249" w:rsidR="00944C9B" w:rsidRDefault="00944C9B" w:rsidP="00944C9B">
      <w:r>
        <w:t xml:space="preserve">Exemplo 2: </w:t>
      </w:r>
    </w:p>
    <w:p w14:paraId="16133181" w14:textId="2DDD4FC7" w:rsidR="00944C9B" w:rsidRDefault="00944C9B" w:rsidP="00944C9B">
      <w:r>
        <w:rPr>
          <w:rFonts w:ascii="Segoe UI Symbol" w:hAnsi="Segoe UI Symbol" w:cs="Segoe UI Symbol"/>
        </w:rPr>
        <w:t>⯀</w:t>
      </w:r>
      <w:r>
        <w:t xml:space="preserve">data de conversão de cotas: D+1; </w:t>
      </w:r>
    </w:p>
    <w:p w14:paraId="49EB5115" w14:textId="06094D0B" w:rsidR="00944C9B" w:rsidRDefault="00944C9B" w:rsidP="00944C9B">
      <w:r>
        <w:rPr>
          <w:rFonts w:ascii="Segoe UI Symbol" w:hAnsi="Segoe UI Symbol" w:cs="Segoe UI Symbol"/>
        </w:rPr>
        <w:t>⯀</w:t>
      </w:r>
      <w:r>
        <w:t xml:space="preserve"> data para pagamento do resgate: D+4. </w:t>
      </w:r>
    </w:p>
    <w:p w14:paraId="03F90207" w14:textId="6AA04DCF" w:rsidR="00944C9B" w:rsidRDefault="00944C9B" w:rsidP="00944C9B">
      <w:r>
        <w:t>Considerando que o dia D é o da solicitação do resgate, para este exemplo, o cálculo do valor das cotas é realizado no dia seguinte à solicitação (conversão em D+1), e o pagamento do resgate é realizado quatro dias úteis após a data de solicitação do resgate (D+4).</w:t>
      </w:r>
    </w:p>
    <w:p w14:paraId="6C60A54C" w14:textId="43673D1D" w:rsidR="00944C9B" w:rsidRDefault="00944C9B" w:rsidP="00944C9B">
      <w:r>
        <w:t xml:space="preserve">Exemplo 3:  </w:t>
      </w:r>
    </w:p>
    <w:p w14:paraId="1B8139DD" w14:textId="34EEACC8" w:rsidR="00944C9B" w:rsidRDefault="00944C9B" w:rsidP="00944C9B">
      <w:r>
        <w:t xml:space="preserve"> </w:t>
      </w:r>
      <w:r>
        <w:rPr>
          <w:rFonts w:ascii="Segoe UI Symbol" w:hAnsi="Segoe UI Symbol" w:cs="Segoe UI Symbol"/>
        </w:rPr>
        <w:t>⯀</w:t>
      </w:r>
      <w:r>
        <w:t xml:space="preserve">  data de conversão de cotas: D+30;</w:t>
      </w:r>
    </w:p>
    <w:p w14:paraId="524AEB60" w14:textId="22D5FAF5" w:rsidR="00944C9B" w:rsidRDefault="00944C9B" w:rsidP="00944C9B">
      <w:r>
        <w:t xml:space="preserve"> </w:t>
      </w:r>
      <w:r>
        <w:rPr>
          <w:rFonts w:ascii="Segoe UI Symbol" w:hAnsi="Segoe UI Symbol" w:cs="Segoe UI Symbol"/>
        </w:rPr>
        <w:t>⯀</w:t>
      </w:r>
      <w:r>
        <w:t xml:space="preserve"> data para pagamento do resgate: D+31. </w:t>
      </w:r>
    </w:p>
    <w:p w14:paraId="43238C2D" w14:textId="5BE32AD2" w:rsidR="00944C9B" w:rsidRDefault="00944C9B" w:rsidP="00944C9B">
      <w:r>
        <w:t>Considerando que o dia D é o da solicitação do resgate, para este exemplo, o cálculo do valor das cotas é realizado 30 dias após a solicitação (conversão em D+30), e o pagamento do resgate é realizado um dia útil após a data de conversão de cotas (D+31).</w:t>
      </w:r>
    </w:p>
    <w:p w14:paraId="40B421E1" w14:textId="48616818" w:rsidR="00944C9B" w:rsidRDefault="00944C9B" w:rsidP="00944C9B">
      <w:r>
        <w:t>O pagamento do resgate deve ser efetuado em cheque, crédito em conta corrente ou ordem de pagamento, no prazo estabelecido no regulamento, que não pode ser superior a 5 (cinco) dias úteis, contado da data da conversão de cotas.</w:t>
      </w:r>
    </w:p>
    <w:p w14:paraId="4EA92690" w14:textId="1B4F32ED" w:rsidR="00944C9B" w:rsidRDefault="00944C9B" w:rsidP="00944C9B">
      <w:r>
        <w:t xml:space="preserve">Os Fundos Abertos podem realizar o resgate compulsório de cotas, desde que: </w:t>
      </w:r>
    </w:p>
    <w:p w14:paraId="146BABD0" w14:textId="0CF7D912" w:rsidR="00944C9B" w:rsidRDefault="00944C9B" w:rsidP="00944C9B">
      <w:r>
        <w:rPr>
          <w:rFonts w:ascii="Segoe UI Symbol" w:hAnsi="Segoe UI Symbol" w:cs="Segoe UI Symbol"/>
        </w:rPr>
        <w:t>⯀</w:t>
      </w:r>
      <w:r>
        <w:t xml:space="preserve"> o regulamento ou a assembleia geral de cotistas o autorize e determine claramente a forma e condições por meio do qual referido procedimento se realizará; </w:t>
      </w:r>
    </w:p>
    <w:p w14:paraId="1850B244" w14:textId="275F4571" w:rsidR="00944C9B" w:rsidRDefault="00944C9B" w:rsidP="00944C9B">
      <w:r>
        <w:rPr>
          <w:rFonts w:ascii="Segoe UI Symbol" w:hAnsi="Segoe UI Symbol" w:cs="Segoe UI Symbol"/>
        </w:rPr>
        <w:t>⯀</w:t>
      </w:r>
      <w:r>
        <w:t xml:space="preserve"> seja realizado de forma equânime, simultânea e proporcional entre todos os cotistas; e </w:t>
      </w:r>
    </w:p>
    <w:p w14:paraId="4FDA50B5" w14:textId="682D27DD" w:rsidR="00944C9B" w:rsidRDefault="00944C9B" w:rsidP="00944C9B">
      <w:r>
        <w:rPr>
          <w:rFonts w:ascii="Segoe UI Symbol" w:hAnsi="Segoe UI Symbol" w:cs="Segoe UI Symbol"/>
        </w:rPr>
        <w:t>⯀</w:t>
      </w:r>
      <w:r>
        <w:t xml:space="preserve"> não seja cobrada taxa de saída</w:t>
      </w:r>
    </w:p>
    <w:p w14:paraId="760F69C9" w14:textId="1A707B0B" w:rsidR="00944C9B" w:rsidRDefault="00944C9B" w:rsidP="00944C9B">
      <w:r>
        <w:t>No caso de fechamento dos mercados e/ou em casos excepcionais de iliquidez dos ativos financeiros componentes da carteira do fundo, inclusive em decorrência de pedidos de resgates incompatíveis com a liquidez existente, ou que possam implicar alteração do tratamento tributário do fundo ou do conjunto dos cotistas, em prejuízo destes últimos, o administrador pode declarar o fechamento do fundo para a realização de resgates.</w:t>
      </w:r>
    </w:p>
    <w:p w14:paraId="493A58FD" w14:textId="29D639B4" w:rsidR="00944C9B" w:rsidRDefault="00944C9B" w:rsidP="00944C9B">
      <w:r>
        <w:t>Caso o administrador declare o fechamento para a realização de resgates, deve proceder à imediata divulgação de fato relevante, tanto por ocasião do fechamento, quanto da reabertura do fundo. Caso o fundo permaneça fechado por período superior a 5 (cinco) dias consecutivos, o administrador deve obrigatoriamente, além da divulgação de fato relevante por ocasião do fechamento, convocar no prazo máximo de 1 (um) dia, para realização em até 15 (quinze), assembleia geral extraordinária para deliberar sobre as seguintes possibilidades</w:t>
      </w:r>
    </w:p>
    <w:p w14:paraId="40D1D539" w14:textId="68B46A94" w:rsidR="00944C9B" w:rsidRDefault="00944C9B" w:rsidP="00944C9B">
      <w:r>
        <w:rPr>
          <w:rFonts w:ascii="Segoe UI Symbol" w:hAnsi="Segoe UI Symbol" w:cs="Segoe UI Symbol"/>
        </w:rPr>
        <w:t>⯀</w:t>
      </w:r>
      <w:r>
        <w:t xml:space="preserve"> substituição do administrador, do gestor ou de ambos;</w:t>
      </w:r>
    </w:p>
    <w:p w14:paraId="57089151" w14:textId="28C6ABAA" w:rsidR="00944C9B" w:rsidRDefault="00944C9B" w:rsidP="00944C9B">
      <w:r>
        <w:t xml:space="preserve"> </w:t>
      </w:r>
      <w:r>
        <w:rPr>
          <w:rFonts w:ascii="Segoe UI Symbol" w:hAnsi="Segoe UI Symbol" w:cs="Segoe UI Symbol"/>
        </w:rPr>
        <w:t>⯀</w:t>
      </w:r>
      <w:r>
        <w:t xml:space="preserve"> reabertura ou manutenção do fechamento do fundo para resgate; </w:t>
      </w:r>
    </w:p>
    <w:p w14:paraId="02EF8851" w14:textId="6C699717" w:rsidR="00944C9B" w:rsidRDefault="00944C9B" w:rsidP="00944C9B">
      <w:r>
        <w:rPr>
          <w:rFonts w:ascii="Segoe UI Symbol" w:hAnsi="Segoe UI Symbol" w:cs="Segoe UI Symbol"/>
        </w:rPr>
        <w:lastRenderedPageBreak/>
        <w:t>⯀</w:t>
      </w:r>
      <w:r>
        <w:t xml:space="preserve"> possibilidade do pagamento de resgate em ativos financeiros; </w:t>
      </w:r>
    </w:p>
    <w:p w14:paraId="3E9B8ACD" w14:textId="26BFD7CD" w:rsidR="00944C9B" w:rsidRDefault="00944C9B" w:rsidP="00944C9B">
      <w:r>
        <w:rPr>
          <w:rFonts w:ascii="Segoe UI Symbol" w:hAnsi="Segoe UI Symbol" w:cs="Segoe UI Symbol"/>
        </w:rPr>
        <w:t>⯀</w:t>
      </w:r>
      <w:r>
        <w:t xml:space="preserve"> cisão do fundo; </w:t>
      </w:r>
    </w:p>
    <w:p w14:paraId="65C80527" w14:textId="22014BA6" w:rsidR="00944C9B" w:rsidRDefault="00944C9B" w:rsidP="00944C9B">
      <w:r>
        <w:rPr>
          <w:rFonts w:ascii="Segoe UI Symbol" w:hAnsi="Segoe UI Symbol" w:cs="Segoe UI Symbol"/>
        </w:rPr>
        <w:t>⯀</w:t>
      </w:r>
      <w:r>
        <w:t xml:space="preserve"> liquidação do fundo. </w:t>
      </w:r>
    </w:p>
    <w:p w14:paraId="0C170654" w14:textId="2B136473" w:rsidR="00944C9B" w:rsidRDefault="00944C9B" w:rsidP="00944C9B">
      <w:r>
        <w:t xml:space="preserve">Um Fundo Fechado para resgate deve ser comunicado imediatamente à CVM, sendo que, o fundo deve permanecer fechado para aplicações enquanto estiver fechado para o resgate. </w:t>
      </w:r>
    </w:p>
    <w:p w14:paraId="6A03DF40" w14:textId="015ED762" w:rsidR="00944C9B" w:rsidRDefault="00944C9B" w:rsidP="00944C9B">
      <w:r>
        <w:t>Neste tópico citamos fatos relevantes e assembleia. Então, para que seu aprendizado seja fluído, vamos abordar esses temas a seguir</w:t>
      </w:r>
    </w:p>
    <w:p w14:paraId="2E797430" w14:textId="6ED3AF3E" w:rsidR="00944C9B" w:rsidRDefault="00944C9B" w:rsidP="00944C9B">
      <w:r>
        <w:rPr>
          <w:noProof/>
        </w:rPr>
        <w:drawing>
          <wp:inline distT="0" distB="0" distL="0" distR="0" wp14:anchorId="6102D56A" wp14:editId="7ADF4DA9">
            <wp:extent cx="5400040" cy="225742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2257425"/>
                    </a:xfrm>
                    <a:prstGeom prst="rect">
                      <a:avLst/>
                    </a:prstGeom>
                    <a:noFill/>
                    <a:ln>
                      <a:noFill/>
                    </a:ln>
                  </pic:spPr>
                </pic:pic>
              </a:graphicData>
            </a:graphic>
          </wp:inline>
        </w:drawing>
      </w:r>
    </w:p>
    <w:p w14:paraId="49F6D2B6" w14:textId="01D17876" w:rsidR="00944C9B" w:rsidRDefault="005A4E54" w:rsidP="00B873D0">
      <w:r w:rsidRPr="005A4E54">
        <w:t>Prazo de Liquidação Financeira e de Carência para o Resgate</w:t>
      </w:r>
    </w:p>
    <w:p w14:paraId="4977DD98" w14:textId="4613A1F9" w:rsidR="005A4E54" w:rsidRDefault="005A4E54" w:rsidP="005A4E54">
      <w:r>
        <w:t>Antes de mais nada, precisamos lembrar de uma coisa: Resgate e Descotização são coisas distintas. Descotização é o processo de converter as cotas de um fundo de investimentos em dinheiro. Já o resgate é apenas o ato de retirar o dinheiro já liberado, lembrou? Vamos seguir então.</w:t>
      </w:r>
    </w:p>
    <w:p w14:paraId="517C8F80" w14:textId="0586FE6D" w:rsidR="005A4E54" w:rsidRDefault="005A4E54" w:rsidP="005A4E54">
      <w:r>
        <w:t>ENTÃO, O QUE É PRAZO DE CARÊNCIA PARA RESGATE?</w:t>
      </w:r>
    </w:p>
    <w:p w14:paraId="582F4B92" w14:textId="56E70A98" w:rsidR="005A4E54" w:rsidRDefault="005A4E54" w:rsidP="005A4E54">
      <w:r>
        <w:t>Prazo de carência para resgate nada mais é do que o tempo que o investidor precisa esperar para solicitar o resgate, ou ainda, em outras palavras, o tempo mínimo que ele precisa ficar com o fundo.</w:t>
      </w:r>
    </w:p>
    <w:p w14:paraId="3B44FA46" w14:textId="788E48AD" w:rsidR="005A4E54" w:rsidRDefault="005A4E54" w:rsidP="005A4E54">
      <w:r>
        <w:t>Esse prazo vai depender da política e estratégica de investimento do fundo, por exemplo: fundos de longo prazo tendem a possuir um prazo de carência para resgate maior do que fundos de curto prazo. O fundos que possuem o prazo de carência para resgate de D+0 não possuem carência.</w:t>
      </w:r>
    </w:p>
    <w:p w14:paraId="62A0EB7B" w14:textId="26DB4C87" w:rsidR="005A4E54" w:rsidRDefault="005A4E54" w:rsidP="005A4E54">
      <w:r>
        <w:t>Hoje, os fundos com carência são minoria, e os seus pares sem carência dominam o mercado. Aliás, atualmente estamos passando por mais uma evolução que está atingindo todos os fundos.</w:t>
      </w:r>
    </w:p>
    <w:p w14:paraId="3104E350" w14:textId="56AD7179" w:rsidR="005A4E54" w:rsidRDefault="005A4E54" w:rsidP="005A4E54">
      <w:r>
        <w:t>E se eu precisar do dinheiro antes? No regulamento do fundo pode constar alguma cláusula específica para quem precisa obter o resgate antes, como por exemplo: para quem não respeitar o período de carência para resgate, será aplicada uma multa de 2% sobre o valor das cotas.</w:t>
      </w:r>
    </w:p>
    <w:p w14:paraId="16F0B968" w14:textId="43C42432" w:rsidR="005A4E54" w:rsidRDefault="005A4E54" w:rsidP="005A4E54">
      <w:r>
        <w:lastRenderedPageBreak/>
        <w:t>Mas onde que eu vou saber essas informações? Elas sempre devem estar destacadas em todo o material de divulgação de fundo de investimento que estabelecer:</w:t>
      </w:r>
    </w:p>
    <w:p w14:paraId="69847EC0" w14:textId="0D6701FE" w:rsidR="005A4E54" w:rsidRDefault="005A4E54" w:rsidP="005A4E54">
      <w:r>
        <w:t>○ Data de descotização diferente da data da solicitação do resgate;</w:t>
      </w:r>
    </w:p>
    <w:p w14:paraId="562ABE06" w14:textId="2ABC1B10" w:rsidR="005A4E54" w:rsidRDefault="005A4E54" w:rsidP="005A4E54">
      <w:r>
        <w:t>○ Data de pagamento do resgate diferente do pedido de resgate; ou</w:t>
      </w:r>
    </w:p>
    <w:p w14:paraId="70700A59" w14:textId="5E4C288A" w:rsidR="005A4E54" w:rsidRDefault="005A4E54" w:rsidP="005A4E54">
      <w:r>
        <w:t>○ Prazo de carência para o resgate.</w:t>
      </w:r>
    </w:p>
    <w:p w14:paraId="51E1B0BD" w14:textId="03F4B83A" w:rsidR="005A4E54" w:rsidRDefault="005A4E54" w:rsidP="005A4E54">
      <w:r>
        <w:t>E O QUE É PRAZO DE LIQUIDAÇÃO FINANCEIRA?</w:t>
      </w:r>
    </w:p>
    <w:p w14:paraId="51C56962" w14:textId="1721BA4C" w:rsidR="005A4E54" w:rsidRDefault="005A4E54" w:rsidP="005A4E54">
      <w:r>
        <w:t>A liquidação financeira é o pagamento ao investidor após realizada a descotização. A CVM tem como regulamento que o pagamento deve ser feito em até 5 dias úteis para que ocorra a Liquidação Financeira, iniciando na data de conversão de cotas (descotização).</w:t>
      </w:r>
    </w:p>
    <w:p w14:paraId="548010A5" w14:textId="5FA6A556" w:rsidR="005A4E54" w:rsidRDefault="005A4E54" w:rsidP="005A4E54">
      <w:r>
        <w:t>Por exemplo: Você é investidor de um Fundos de Ações no qual possui a conversão de cotas ocorre em D+1, normalmente. Já o pagamento do resgate ocorre em D+3.</w:t>
      </w:r>
    </w:p>
    <w:p w14:paraId="5C06F83E" w14:textId="7A399982" w:rsidR="005A4E54" w:rsidRDefault="005A4E54" w:rsidP="005A4E54">
      <w:r>
        <w:t>Dessa forma, após solicitar a descotização, a mesma ocorre no próximo dia útil, e o pagamento do resgate (liquidação financeira) ocorre 3 dias úteis após realizada a descotização.</w:t>
      </w:r>
    </w:p>
    <w:p w14:paraId="0EC2F815" w14:textId="7D48A32B" w:rsidR="005A4E54" w:rsidRDefault="005A4E54" w:rsidP="005A4E54">
      <w:r>
        <w:rPr>
          <w:noProof/>
        </w:rPr>
        <w:drawing>
          <wp:inline distT="0" distB="0" distL="0" distR="0" wp14:anchorId="14799306" wp14:editId="0423DA50">
            <wp:extent cx="5400040" cy="193357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1933575"/>
                    </a:xfrm>
                    <a:prstGeom prst="rect">
                      <a:avLst/>
                    </a:prstGeom>
                    <a:noFill/>
                    <a:ln>
                      <a:noFill/>
                    </a:ln>
                  </pic:spPr>
                </pic:pic>
              </a:graphicData>
            </a:graphic>
          </wp:inline>
        </w:drawing>
      </w:r>
    </w:p>
    <w:p w14:paraId="66A8B02A" w14:textId="085144E8" w:rsidR="005A4E54" w:rsidRDefault="005A4E54" w:rsidP="005A4E54">
      <w:r w:rsidRPr="005A4E54">
        <w:t>Diferenciais do produto para investidor</w:t>
      </w:r>
    </w:p>
    <w:p w14:paraId="7B77A897" w14:textId="40DED617" w:rsidR="005A4E54" w:rsidRDefault="005A4E54" w:rsidP="005A4E54">
      <w:r>
        <w:t>PORQUE INVESTIDOR EM UM FUNDO DE INVESTIMENTO?</w:t>
      </w:r>
    </w:p>
    <w:p w14:paraId="5F1B4AA1" w14:textId="3B9E3EDF" w:rsidR="005A4E54" w:rsidRDefault="005A4E54" w:rsidP="005A4E54">
      <w:r>
        <w:t>Vou te apresentar algumas características interessantes dos FIs:</w:t>
      </w:r>
    </w:p>
    <w:p w14:paraId="7D852ABE" w14:textId="26D45A70" w:rsidR="005A4E54" w:rsidRDefault="005A4E54" w:rsidP="005A4E54">
      <w:r>
        <w:t xml:space="preserve">ACESSIBILIDADE AO MERCADO FINANCEIRO: Está relacionada a condição de acesso de qualquer investidor, ou seja, o fundo de investimento possui total equidade, tendo em vista que todos os cotistas possuem os mesmos direitos. Não interessa se você tem 50 mil cotas ou apenas 1 cota, o tratamento será sempre igual em ambos os casos. Dizemos que o Fundo de Investimento é um POOL, pois é um conjunto de recursos de diversos cotistas. Esse conceito de acessibilidade vale tanto para produtos ou operações financeiras disponíveis no mercado, e possibilidade maiores e melhores oportunidades para todos. </w:t>
      </w:r>
    </w:p>
    <w:p w14:paraId="55840831" w14:textId="67EDBF64" w:rsidR="005A4E54" w:rsidRDefault="005A4E54" w:rsidP="005A4E54">
      <w:r>
        <w:t>Por exemplo: Eu quero investir em um produto específico, mas ele exige um aporte inicial de R$ 50.000,00 reais e eu não tenho esse valor agora. Então eu compro cotas do Fundo de Investimento da Topinvest que investe nesse produto que eu quero, pois o Fundo da Topinvest possui milhões de reais em custódia de seus investidores e tem condições de fazer aportes em produtos de grande porte como esse. Entendeu a diferença? Eu sozinho não conseguiria investir, mas adquirindo cotas do Fundo da Topinvest, eu faço o mesmo investimento.</w:t>
      </w:r>
    </w:p>
    <w:p w14:paraId="09086699" w14:textId="26ECDD2D" w:rsidR="005A4E54" w:rsidRDefault="005A4E54" w:rsidP="005A4E54">
      <w:r>
        <w:lastRenderedPageBreak/>
        <w:t xml:space="preserve">DIVERSIFICAÇÃO: A CVM obriga que os Fundos de Investimentos possuam investimentos e produtos diversificados de acordo com a classificação de cada um, com o objetivo de diminuir os riscos. Ao diversificar os ativos, embora alguns possuam um mal desempenho, a rentabilidade do Fundo será compensada por outros que terão um bom desempenho. </w:t>
      </w:r>
    </w:p>
    <w:p w14:paraId="23D87AA0" w14:textId="16D2900C" w:rsidR="005A4E54" w:rsidRDefault="005A4E54" w:rsidP="005A4E54">
      <w:r>
        <w:t>RISCO DA CARTEIRA DE ATIVOS E NÃO INDIVIDUAL: Não há risco individual dos ativos, e sim da carteira em geral. Imagine duas possibilidades: Eu, Kleber, investir todo o meu dinheiro em 1 empresa apenas, isso é ruim né? E se ela falir? Já era!</w:t>
      </w:r>
    </w:p>
    <w:p w14:paraId="6A16DB9C" w14:textId="0E3B5FB0" w:rsidR="005A4E54" w:rsidRDefault="005A4E54" w:rsidP="005A4E54">
      <w:r>
        <w:t>Agora, se eu diversifico meus investimentos, investindo em 10 empresas diferentes de diversas áreas, é quase impossível todas as 10 empresas falirem ao mesmo tempo, certo?</w:t>
      </w:r>
    </w:p>
    <w:p w14:paraId="6C01902B" w14:textId="5BD8261F" w:rsidR="005A4E54" w:rsidRDefault="005A4E54" w:rsidP="005A4E54">
      <w:r>
        <w:t xml:space="preserve">Por isso que quando investimos em um único ativo, o risco é muito maior do que investir em uma carteira de ativos diversificada, pois o risco fica diluído na carteira inteira e não apenas em um ativo isolado, entendido? </w:t>
      </w:r>
    </w:p>
    <w:p w14:paraId="36C0A218" w14:textId="702F262B" w:rsidR="005A4E54" w:rsidRDefault="005A4E54" w:rsidP="005A4E54">
      <w:r>
        <w:t>LIQUIDEZ: Essa característica é associada a facilidade ou velocidade do ativo virar dinheiro. Como os fundos possuem diversos cotistas, ele pode oferecer maior liquidez, inclusive existem diversas opções de fundos com liquidez de D+0, ou seja, no mesmo dia o dinheiro já está em sua conta. Geralmente os fundos com maior liquidez oferecem uma menor rentabilidade ao investidor.</w:t>
      </w:r>
    </w:p>
    <w:p w14:paraId="30CD1D13" w14:textId="3FC80B78" w:rsidR="005A4E54" w:rsidRDefault="005A4E54" w:rsidP="005A4E54">
      <w:r>
        <w:t>Recapitulado: Com a possibilidade de acesso a diversos mercados, temos melhores oportunidades de investimentos. Diversificando nossos ativos, possuímos um menor risco. E com uma maior liquidez e facilidade de resgate, temos maior disponibilidade de recursos, beleza?</w:t>
      </w:r>
    </w:p>
    <w:p w14:paraId="786CCFA2" w14:textId="7AF5C45F" w:rsidR="005A4E54" w:rsidRDefault="005A4E54" w:rsidP="005A4E54">
      <w:r>
        <w:rPr>
          <w:noProof/>
        </w:rPr>
        <w:drawing>
          <wp:inline distT="0" distB="0" distL="0" distR="0" wp14:anchorId="09927247" wp14:editId="75088DA6">
            <wp:extent cx="5400040" cy="21145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114550"/>
                    </a:xfrm>
                    <a:prstGeom prst="rect">
                      <a:avLst/>
                    </a:prstGeom>
                    <a:noFill/>
                    <a:ln>
                      <a:noFill/>
                    </a:ln>
                  </pic:spPr>
                </pic:pic>
              </a:graphicData>
            </a:graphic>
          </wp:inline>
        </w:drawing>
      </w:r>
    </w:p>
    <w:p w14:paraId="417B66E6" w14:textId="6F7657E1" w:rsidR="005A4E54" w:rsidRDefault="009A1BDB" w:rsidP="005A4E54">
      <w:r w:rsidRPr="009A1BDB">
        <w:t>Limites de Concentração em Fundos de Investimento</w:t>
      </w:r>
    </w:p>
    <w:p w14:paraId="6AABA15B" w14:textId="7A5698BA" w:rsidR="009A1BDB" w:rsidRDefault="009A1BDB" w:rsidP="009A1BDB">
      <w:r>
        <w:t>Limites de concentração por emissor</w:t>
      </w:r>
    </w:p>
    <w:p w14:paraId="7ABA5CDB" w14:textId="56E3C056" w:rsidR="009A1BDB" w:rsidRDefault="009A1BDB" w:rsidP="009A1BDB">
      <w:r>
        <w:t xml:space="preserve">Ainda sobre a política dos Fundos de Investimentos, temos de destacar os limites impostos pela CVM para concentração de emissor de ativos e modalidade de ativos. </w:t>
      </w:r>
    </w:p>
    <w:p w14:paraId="5FA5A17B" w14:textId="672E1094" w:rsidR="009A1BDB" w:rsidRDefault="009A1BDB" w:rsidP="009A1BDB">
      <w:r>
        <w:t xml:space="preserve">O raciocínio para esse limite é facilmente compreendido quando pensamos em concentração de risco. </w:t>
      </w:r>
    </w:p>
    <w:p w14:paraId="1AD70EB0" w14:textId="349518C3" w:rsidR="009A1BDB" w:rsidRDefault="009A1BDB" w:rsidP="009A1BDB">
      <w:r>
        <w:t xml:space="preserve">Um Fundo de Investimento vai comprar ativos no mercado para compor sua carteira. Se um fundo de Renda Fixa comprasse 100% de CDB do banco Original, o risco do fundo estaria muito </w:t>
      </w:r>
      <w:r>
        <w:lastRenderedPageBreak/>
        <w:t>concentrado no banco original, correto? Para evitar esse tipo de risco, o gestor do fundo deve observar os limites de concentração por emissor, conforme abaixo:</w:t>
      </w:r>
    </w:p>
    <w:p w14:paraId="13DFA4AD" w14:textId="6361A8C9" w:rsidR="009A1BDB" w:rsidRDefault="009A1BDB" w:rsidP="009A1BDB">
      <w:r>
        <w:rPr>
          <w:rFonts w:ascii="Segoe UI Symbol" w:hAnsi="Segoe UI Symbol" w:cs="Segoe UI Symbol"/>
        </w:rPr>
        <w:t>⯀</w:t>
      </w:r>
      <w:r>
        <w:t xml:space="preserve"> até 100% Governo Federal; </w:t>
      </w:r>
    </w:p>
    <w:p w14:paraId="48B50CFE" w14:textId="12A1C726" w:rsidR="009A1BDB" w:rsidRDefault="009A1BDB" w:rsidP="009A1BDB">
      <w:r>
        <w:rPr>
          <w:rFonts w:ascii="Segoe UI Symbol" w:hAnsi="Segoe UI Symbol" w:cs="Segoe UI Symbol"/>
        </w:rPr>
        <w:t>⯀</w:t>
      </w:r>
      <w:r>
        <w:t xml:space="preserve"> até 20% (vinte por cento) do patrimônio líquido do fundo quando o emissor for </w:t>
      </w:r>
    </w:p>
    <w:p w14:paraId="41654027" w14:textId="7740F91D" w:rsidR="009A1BDB" w:rsidRDefault="009A1BDB" w:rsidP="009A1BDB">
      <w:r>
        <w:rPr>
          <w:rFonts w:ascii="Segoe UI Symbol" w:hAnsi="Segoe UI Symbol" w:cs="Segoe UI Symbol"/>
        </w:rPr>
        <w:t>⯀</w:t>
      </w:r>
      <w:r>
        <w:t xml:space="preserve"> Instituição Financeira autorizada a funcionar pelo Banco Central do Brasil; </w:t>
      </w:r>
    </w:p>
    <w:p w14:paraId="100E87E2" w14:textId="7E900C9E" w:rsidR="009A1BDB" w:rsidRDefault="009A1BDB" w:rsidP="009A1BDB">
      <w:r>
        <w:rPr>
          <w:rFonts w:ascii="Segoe UI Symbol" w:hAnsi="Segoe UI Symbol" w:cs="Segoe UI Symbol"/>
        </w:rPr>
        <w:t>⯀</w:t>
      </w:r>
      <w:r>
        <w:t xml:space="preserve"> até 10% (dez por cento) do patrimônio líquido do fundo quando o emissor for </w:t>
      </w:r>
    </w:p>
    <w:p w14:paraId="75DCC673" w14:textId="39FEC9CA" w:rsidR="009A1BDB" w:rsidRDefault="009A1BDB" w:rsidP="009A1BDB">
      <w:r>
        <w:rPr>
          <w:rFonts w:ascii="Segoe UI Symbol" w:hAnsi="Segoe UI Symbol" w:cs="Segoe UI Symbol"/>
        </w:rPr>
        <w:t>⯀</w:t>
      </w:r>
      <w:r>
        <w:t xml:space="preserve"> companhia aberta; </w:t>
      </w:r>
    </w:p>
    <w:p w14:paraId="303C848F" w14:textId="5B828A41" w:rsidR="009A1BDB" w:rsidRDefault="009A1BDB" w:rsidP="009A1BDB">
      <w:r>
        <w:rPr>
          <w:rFonts w:ascii="Segoe UI Symbol" w:hAnsi="Segoe UI Symbol" w:cs="Segoe UI Symbol"/>
        </w:rPr>
        <w:t>⯀</w:t>
      </w:r>
      <w:r>
        <w:t xml:space="preserve"> até 10% (dez por cento) do patrimônio líquido do fundo quando o emissor for</w:t>
      </w:r>
    </w:p>
    <w:p w14:paraId="1399C328" w14:textId="1FAA18B5" w:rsidR="009A1BDB" w:rsidRDefault="009A1BDB" w:rsidP="009A1BDB">
      <w:r>
        <w:t xml:space="preserve"> </w:t>
      </w:r>
      <w:r>
        <w:rPr>
          <w:rFonts w:ascii="Segoe UI Symbol" w:hAnsi="Segoe UI Symbol" w:cs="Segoe UI Symbol"/>
        </w:rPr>
        <w:t>⯀</w:t>
      </w:r>
      <w:r>
        <w:t xml:space="preserve"> Fundo de Investimento; </w:t>
      </w:r>
    </w:p>
    <w:p w14:paraId="1DDDB8ED" w14:textId="40B94C1F" w:rsidR="009A1BDB" w:rsidRDefault="009A1BDB" w:rsidP="009A1BDB">
      <w:r>
        <w:rPr>
          <w:rFonts w:ascii="Segoe UI Symbol" w:hAnsi="Segoe UI Symbol" w:cs="Segoe UI Symbol"/>
        </w:rPr>
        <w:t>⯀</w:t>
      </w:r>
      <w:r>
        <w:t xml:space="preserve"> até 5% (cinco por cento) do patrimônio líquido do fundo quando o emissor for Pessoa Natural ou Pessoa Jurídica de direito privado que não seja companhia aberta ou Instituição Financeira autorizada a funcionar pelo Banco Central do Brasil.</w:t>
      </w:r>
    </w:p>
    <w:p w14:paraId="1164D911" w14:textId="4996FEC9" w:rsidR="009A1BDB" w:rsidRDefault="009A1BDB" w:rsidP="009A1BDB">
      <w:r>
        <w:t xml:space="preserve">Limites de concentração por modalidade </w:t>
      </w:r>
    </w:p>
    <w:p w14:paraId="378F6F47" w14:textId="49B01877" w:rsidR="009A1BDB" w:rsidRDefault="009A1BDB" w:rsidP="009A1BDB">
      <w:r>
        <w:t>Ainda na linha de limitar a concentração de ativos para diminuir os riscos, a CVM limita também a concentração por modalidade dos ativos</w:t>
      </w:r>
    </w:p>
    <w:p w14:paraId="4598BF57" w14:textId="64952B6E" w:rsidR="009A1BDB" w:rsidRDefault="009A1BDB" w:rsidP="009A1BDB">
      <w:r>
        <w:t xml:space="preserve">O limite é de até 20% do patrimônio líquido do fundo para o conjunto dos seguintes ativos: </w:t>
      </w:r>
    </w:p>
    <w:p w14:paraId="383C1D29" w14:textId="03A77097" w:rsidR="009A1BDB" w:rsidRDefault="009A1BDB" w:rsidP="009A1BDB">
      <w:r>
        <w:t xml:space="preserve"> </w:t>
      </w:r>
      <w:r>
        <w:rPr>
          <w:rFonts w:ascii="Segoe UI Symbol" w:hAnsi="Segoe UI Symbol" w:cs="Segoe UI Symbol"/>
        </w:rPr>
        <w:t>⯀</w:t>
      </w:r>
      <w:r>
        <w:t xml:space="preserve"> cotas de fundos de investimento registrados com base nesta Instrução; </w:t>
      </w:r>
    </w:p>
    <w:p w14:paraId="6F08A156" w14:textId="704A11AE" w:rsidR="009A1BDB" w:rsidRDefault="009A1BDB" w:rsidP="009A1BDB">
      <w:r>
        <w:rPr>
          <w:rFonts w:ascii="Segoe UI Symbol" w:hAnsi="Segoe UI Symbol" w:cs="Segoe UI Symbol"/>
        </w:rPr>
        <w:t>⯀</w:t>
      </w:r>
      <w:r>
        <w:t xml:space="preserve"> cotas de fundos de investimento em cotas de fundos de investimento registrados conforme instrução CVM 555; </w:t>
      </w:r>
    </w:p>
    <w:p w14:paraId="74DB1E2E" w14:textId="0C9FFA18" w:rsidR="009A1BDB" w:rsidRDefault="009A1BDB" w:rsidP="009A1BDB">
      <w:r>
        <w:rPr>
          <w:rFonts w:ascii="Segoe UI Symbol" w:hAnsi="Segoe UI Symbol" w:cs="Segoe UI Symbol"/>
        </w:rPr>
        <w:t>⯀</w:t>
      </w:r>
      <w:r>
        <w:t xml:space="preserve"> cotas de fundos de investimento destinados exclusivamente a investidores qualificados registrados conforme instrução CVM 555;</w:t>
      </w:r>
    </w:p>
    <w:p w14:paraId="485ED3A0" w14:textId="5564871B" w:rsidR="009A1BDB" w:rsidRDefault="009A1BDB" w:rsidP="009A1BDB">
      <w:r>
        <w:rPr>
          <w:rFonts w:ascii="Segoe UI Symbol" w:hAnsi="Segoe UI Symbol" w:cs="Segoe UI Symbol"/>
        </w:rPr>
        <w:t>⯀</w:t>
      </w:r>
      <w:r>
        <w:t xml:space="preserve"> cotas de fundos de investimento em cotas de fundos de investimento destinados exclusivamente a investidores qualificados registrados com base conforme instrução CVM 555;</w:t>
      </w:r>
    </w:p>
    <w:p w14:paraId="30054891" w14:textId="22C0B174" w:rsidR="009A1BDB" w:rsidRDefault="009A1BDB" w:rsidP="009A1BDB">
      <w:r>
        <w:t xml:space="preserve"> </w:t>
      </w:r>
      <w:r>
        <w:rPr>
          <w:rFonts w:ascii="Segoe UI Symbol" w:hAnsi="Segoe UI Symbol" w:cs="Segoe UI Symbol"/>
        </w:rPr>
        <w:t>⯀</w:t>
      </w:r>
      <w:r>
        <w:t xml:space="preserve"> cotas de fundos de investimento imobiliário – FII; </w:t>
      </w:r>
    </w:p>
    <w:p w14:paraId="6AB6A878" w14:textId="11FFF0AC" w:rsidR="009A1BDB" w:rsidRDefault="009A1BDB" w:rsidP="009A1BDB">
      <w:r>
        <w:rPr>
          <w:rFonts w:ascii="Segoe UI Symbol" w:hAnsi="Segoe UI Symbol" w:cs="Segoe UI Symbol"/>
        </w:rPr>
        <w:t>⯀</w:t>
      </w:r>
      <w:r>
        <w:t xml:space="preserve"> cotas de fundos de investimento em direitos creditórios – FIDC;</w:t>
      </w:r>
    </w:p>
    <w:p w14:paraId="066625B9" w14:textId="6C97AE20" w:rsidR="009A1BDB" w:rsidRDefault="009A1BDB" w:rsidP="009A1BDB">
      <w:r>
        <w:t xml:space="preserve"> </w:t>
      </w:r>
      <w:r>
        <w:rPr>
          <w:rFonts w:ascii="Segoe UI Symbol" w:hAnsi="Segoe UI Symbol" w:cs="Segoe UI Symbol"/>
        </w:rPr>
        <w:t>⯀</w:t>
      </w:r>
      <w:r>
        <w:t xml:space="preserve"> cotas de Fundos de Investimento em Fundos de Investimento em direitos creditórios – FIC-FIDC; </w:t>
      </w:r>
    </w:p>
    <w:p w14:paraId="01686B03" w14:textId="68ED2455" w:rsidR="009A1BDB" w:rsidRDefault="009A1BDB" w:rsidP="009A1BDB">
      <w:r>
        <w:rPr>
          <w:rFonts w:ascii="Segoe UI Symbol" w:hAnsi="Segoe UI Symbol" w:cs="Segoe UI Symbol"/>
        </w:rPr>
        <w:t>⯀</w:t>
      </w:r>
      <w:r>
        <w:t xml:space="preserve"> cotas de fundos de índice admitidos à negociação em mercado organizado; </w:t>
      </w:r>
    </w:p>
    <w:p w14:paraId="1DDE0186" w14:textId="6D3EE517" w:rsidR="009A1BDB" w:rsidRDefault="009A1BDB" w:rsidP="009A1BDB">
      <w:r>
        <w:rPr>
          <w:rFonts w:ascii="Segoe UI Symbol" w:hAnsi="Segoe UI Symbol" w:cs="Segoe UI Symbol"/>
        </w:rPr>
        <w:t>⯀</w:t>
      </w:r>
      <w:r>
        <w:t xml:space="preserve"> certificados de Recebíveis Imobiliários – CRI.</w:t>
      </w:r>
    </w:p>
    <w:p w14:paraId="20E78FB4" w14:textId="1F986EDB" w:rsidR="009A1BDB" w:rsidRDefault="009A1BDB" w:rsidP="009A1BDB">
      <w:r>
        <w:rPr>
          <w:noProof/>
        </w:rPr>
        <w:lastRenderedPageBreak/>
        <w:drawing>
          <wp:inline distT="0" distB="0" distL="0" distR="0" wp14:anchorId="51797775" wp14:editId="6AAE10F8">
            <wp:extent cx="5391150" cy="2562225"/>
            <wp:effectExtent l="0" t="0" r="0" b="95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150" cy="2562225"/>
                    </a:xfrm>
                    <a:prstGeom prst="rect">
                      <a:avLst/>
                    </a:prstGeom>
                    <a:noFill/>
                    <a:ln>
                      <a:noFill/>
                    </a:ln>
                  </pic:spPr>
                </pic:pic>
              </a:graphicData>
            </a:graphic>
          </wp:inline>
        </w:drawing>
      </w:r>
    </w:p>
    <w:p w14:paraId="35E19C01" w14:textId="42EDFD13" w:rsidR="009A1BDB" w:rsidRDefault="00067CA7" w:rsidP="009A1BDB">
      <w:r w:rsidRPr="00067CA7">
        <w:t>Politicas de Investimento</w:t>
      </w:r>
    </w:p>
    <w:p w14:paraId="39164573" w14:textId="155E36BA" w:rsidR="00067CA7" w:rsidRDefault="00067CA7" w:rsidP="00067CA7">
      <w:r>
        <w:t>Sabemos que um Fundo de Investimento é uma prestação de serviço de gestão de recursos. O que vamos entender agora é que cada Fundo de Investimento terá em seu regulamento um objetivo e uma política pela qual o gestor buscará alcançar o objetivo do fundo. Confuso? Vamos deixar as coisas mais claras.</w:t>
      </w:r>
    </w:p>
    <w:p w14:paraId="26B7D9F3" w14:textId="10CCA18C" w:rsidR="00067CA7" w:rsidRDefault="00067CA7" w:rsidP="00067CA7">
      <w:r>
        <w:t xml:space="preserve">Um Fundo de Investimento terá como objetivo acompanhar ou superar um benchmark. Como exemplo, posso citar um fundo de Renda Fixa referenciado DI, que tem como objetivo acompanhar as variações do DI. Dessa forma, o investidor sabe que, ao investir neste fundo, terá uma rentabilidade próxima desse indicador. </w:t>
      </w:r>
    </w:p>
    <w:p w14:paraId="5061B653" w14:textId="7AE726E9" w:rsidR="00067CA7" w:rsidRDefault="00067CA7" w:rsidP="00067CA7">
      <w:r>
        <w:t>Em resumo: o objetivo de um Fundo de Investimento é a rentabilidade que o fundo buscará para sua carteira, sendo a Política de Investimento a descrição dos mercados que o gestor pode atuar para cumprir o objetivo. Voltando ao exemplo do fundo referenciado DI, para o gestor buscar retorno para a carteira do fundo terá de comprar ativos previstos na política.</w:t>
      </w:r>
    </w:p>
    <w:p w14:paraId="411CEC9D" w14:textId="3A25D2AD" w:rsidR="00067CA7" w:rsidRDefault="00067CA7" w:rsidP="00067CA7">
      <w:r>
        <w:t>Em se tratando de objetivos do fundo, teremos os fundos:</w:t>
      </w:r>
    </w:p>
    <w:p w14:paraId="6C5A0640" w14:textId="3EF0E249" w:rsidR="00067CA7" w:rsidRDefault="00067CA7" w:rsidP="00067CA7">
      <w:r>
        <w:t>1. passivos: aqueles fundos que buscam apenas acompanhar a variação de seu benchmark;</w:t>
      </w:r>
    </w:p>
    <w:p w14:paraId="4E0819D6" w14:textId="58100D9D" w:rsidR="00067CA7" w:rsidRDefault="00067CA7" w:rsidP="00067CA7">
      <w:r>
        <w:t xml:space="preserve"> 2. ativos: aqueles fundos que buscam superar a variação do benchmark.</w:t>
      </w:r>
    </w:p>
    <w:p w14:paraId="0E715FE9" w14:textId="24E9F88C" w:rsidR="00067CA7" w:rsidRDefault="00067CA7" w:rsidP="00067CA7">
      <w:r>
        <w:t>Dica do kleber: o que eu coloquei em negrito nos itens acima é para chamar sua atenção para o fato que o fundo passivo acompanha e o fundo ativo supera</w:t>
      </w:r>
    </w:p>
    <w:p w14:paraId="7AEC71EB" w14:textId="614B6837" w:rsidR="00067CA7" w:rsidRDefault="00067CA7" w:rsidP="00067CA7">
      <w:r>
        <w:t>Além dos fundos passivos e ativos, podemos encontrar o fundo alavancado. Esse tipo de fundo normalmente é um fundo ativo e, portanto, seria um fundo ativo alavancado. A definição de “alavancado” se deve ao fato de que esse fundo pode utilizar, como estratégia de gestão de ativos, derivativos que exponham o fundo a risco superior ao valor de seu patrimônio líquido</w:t>
      </w:r>
    </w:p>
    <w:p w14:paraId="3F12A94E" w14:textId="1FBBF0C8" w:rsidR="00067CA7" w:rsidRDefault="00067CA7" w:rsidP="00067CA7">
      <w:r>
        <w:t>Em outras palavras, é um fundo que pode ter uma perda maior do que o valor investido do fundo. Caso esse fundo apresente um prejuízo maior do que seu patrimônio líquido, o cotista será convidado (na verdade é obrigado, mas não ficaria bem escrever isso aqui, né?) a aportar mais recursos para cobrir o prejuízo do fundo. Melhor dizendo, a responsabilidade por cobrir eventuais prejuízos do fundo alavancado é do cotista.</w:t>
      </w:r>
    </w:p>
    <w:p w14:paraId="0810E31B" w14:textId="248A9A07" w:rsidR="00067CA7" w:rsidRDefault="00067CA7" w:rsidP="00067CA7">
      <w:r>
        <w:rPr>
          <w:noProof/>
        </w:rPr>
        <w:lastRenderedPageBreak/>
        <w:drawing>
          <wp:inline distT="0" distB="0" distL="0" distR="0" wp14:anchorId="34A0D4C6" wp14:editId="65F7830C">
            <wp:extent cx="5400040" cy="194310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1943100"/>
                    </a:xfrm>
                    <a:prstGeom prst="rect">
                      <a:avLst/>
                    </a:prstGeom>
                    <a:noFill/>
                    <a:ln>
                      <a:noFill/>
                    </a:ln>
                  </pic:spPr>
                </pic:pic>
              </a:graphicData>
            </a:graphic>
          </wp:inline>
        </w:drawing>
      </w:r>
    </w:p>
    <w:p w14:paraId="00AE0B4A" w14:textId="77777777" w:rsidR="00424D64" w:rsidRDefault="00424D64" w:rsidP="00424D64">
      <w:r>
        <w:t>Dificuldade da Replicação dos Índices de Referência - Fundos de Investimento</w:t>
      </w:r>
    </w:p>
    <w:p w14:paraId="57F2E48B" w14:textId="7C515125" w:rsidR="00424D64" w:rsidRDefault="00424D64" w:rsidP="00424D64">
      <w:r>
        <w:t>Antes de mais nada, vamos lembrar o que é Benchmark: é o índice de referência, ok?</w:t>
      </w:r>
    </w:p>
    <w:p w14:paraId="73BF9D10" w14:textId="02471730" w:rsidR="00424D64" w:rsidRDefault="00424D64" w:rsidP="00424D64">
      <w:r>
        <w:t>A partir disso, nós temos dois tipos de FIs:</w:t>
      </w:r>
    </w:p>
    <w:p w14:paraId="35163356" w14:textId="7169C8BE" w:rsidR="00424D64" w:rsidRDefault="00424D64" w:rsidP="00424D64">
      <w:r>
        <w:t>Fundos de Gestão Ativa: a rentabilidade do fundo é SUPERIOR ao benchmark.</w:t>
      </w:r>
    </w:p>
    <w:p w14:paraId="65644199" w14:textId="6F3F7B4A" w:rsidR="00424D64" w:rsidRDefault="00424D64" w:rsidP="00424D64">
      <w:r>
        <w:t>Fundos de Gestão Passiva:  a rentabilidade do fundo ACOMPANHA o benchmark.</w:t>
      </w:r>
    </w:p>
    <w:p w14:paraId="6AB57737" w14:textId="10502F9E" w:rsidR="00424D64" w:rsidRDefault="00424D64" w:rsidP="00424D64">
      <w:r>
        <w:t>Os Fundos Referenciados são os que buscam através de uma estratégia investimentos, replicar índices como CDI ou SELIC por exemplo. A construção da carteira é baseada, principalmente, em ativos indexados a esses índices. É o caso, por exemplo, dos Títulos do Tesouro pós-fixados.</w:t>
      </w:r>
    </w:p>
    <w:p w14:paraId="21E2026E" w14:textId="7D1AA0C6" w:rsidR="00424D64" w:rsidRDefault="00424D64" w:rsidP="00424D64">
      <w:r>
        <w:t>Mas há uma grande dificuldade em replicar os Benchmarks, vamos ver alguns desses pontos:</w:t>
      </w:r>
    </w:p>
    <w:p w14:paraId="427BE75D" w14:textId="56C2754B" w:rsidR="00424D64" w:rsidRDefault="00424D64" w:rsidP="00424D64">
      <w:r>
        <w:t>Replicar com exata proporção: é uma dificuldade operacional em saber com exatidão qual será o número certo proporcional para todos os ativos.</w:t>
      </w:r>
    </w:p>
    <w:p w14:paraId="7086D274" w14:textId="10D1AC0F" w:rsidR="00424D64" w:rsidRDefault="00424D64" w:rsidP="00424D64">
      <w:r>
        <w:t>Custos: comprar e vender ativos possuem seus custos. O fundo possui taxa de administração, corretagem e demais encargos de sua responsabilidade, que serão pagos sempre que a carteira precisar ser ajustada.</w:t>
      </w:r>
    </w:p>
    <w:p w14:paraId="074CCC76" w14:textId="0196C6AB" w:rsidR="00424D64" w:rsidRDefault="00424D64" w:rsidP="00424D64">
      <w:r>
        <w:t>Impostos: Com exceção dos Fundos de Ações, os demais Fundos de Investimentos possuem o come cotas, que deve ser apurado nos meses de maio e novembro. Isso prejudica a rentabilidade do Fundo, uma vez que para efetuar o recolhimento, deve ser vendido os ativos ou manter disponibilidade. Ainda, o IR incide sobre o rendimento positivo.</w:t>
      </w:r>
    </w:p>
    <w:p w14:paraId="1BFEEBF8" w14:textId="5BF63EBC" w:rsidR="00424D64" w:rsidRDefault="00424D64" w:rsidP="00424D64">
      <w:r>
        <w:t xml:space="preserve">Para que um gestor consiga replicar o índice de referência, ele precisa inovar em técnicas e diferentes estratégias como: </w:t>
      </w:r>
    </w:p>
    <w:p w14:paraId="1DAF3C92" w14:textId="0E6A2747" w:rsidR="00424D64" w:rsidRDefault="00424D64" w:rsidP="00424D64">
      <w:pPr>
        <w:pStyle w:val="PargrafodaLista"/>
        <w:numPr>
          <w:ilvl w:val="0"/>
          <w:numId w:val="2"/>
        </w:numPr>
      </w:pPr>
      <w:r>
        <w:t xml:space="preserve">operar com ações mais representativas de comportamento, </w:t>
      </w:r>
    </w:p>
    <w:p w14:paraId="66B37EB5" w14:textId="0D7C8991" w:rsidR="00424D64" w:rsidRDefault="00424D64" w:rsidP="00424D64">
      <w:pPr>
        <w:pStyle w:val="PargrafodaLista"/>
        <w:numPr>
          <w:ilvl w:val="0"/>
          <w:numId w:val="2"/>
        </w:numPr>
      </w:pPr>
      <w:r>
        <w:t xml:space="preserve">manter alguns recursos para fazer resgates, ou </w:t>
      </w:r>
    </w:p>
    <w:p w14:paraId="2FF3D1FA" w14:textId="64E9A7B1" w:rsidR="00424D64" w:rsidRDefault="00424D64" w:rsidP="00424D64">
      <w:pPr>
        <w:pStyle w:val="PargrafodaLista"/>
        <w:numPr>
          <w:ilvl w:val="0"/>
          <w:numId w:val="2"/>
        </w:numPr>
      </w:pPr>
      <w:r>
        <w:t>operar no mercado futuro para ajustar o comportamento da carteira com o objetivo pretendido.</w:t>
      </w:r>
    </w:p>
    <w:p w14:paraId="72D32690" w14:textId="2967EB13" w:rsidR="00424D64" w:rsidRDefault="00424D64" w:rsidP="00424D64"/>
    <w:p w14:paraId="12B20DA0" w14:textId="36FAB2BA" w:rsidR="00424D64" w:rsidRDefault="00424D64" w:rsidP="00424D64">
      <w:r>
        <w:rPr>
          <w:noProof/>
        </w:rPr>
        <w:lastRenderedPageBreak/>
        <w:drawing>
          <wp:inline distT="0" distB="0" distL="0" distR="0" wp14:anchorId="564323F1" wp14:editId="41657AE3">
            <wp:extent cx="5400040" cy="286639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2866390"/>
                    </a:xfrm>
                    <a:prstGeom prst="rect">
                      <a:avLst/>
                    </a:prstGeom>
                    <a:noFill/>
                    <a:ln>
                      <a:noFill/>
                    </a:ln>
                  </pic:spPr>
                </pic:pic>
              </a:graphicData>
            </a:graphic>
          </wp:inline>
        </w:drawing>
      </w:r>
    </w:p>
    <w:p w14:paraId="031725E1" w14:textId="77777777" w:rsidR="00424D64" w:rsidRDefault="00424D64" w:rsidP="00424D64">
      <w:r>
        <w:t>Divulgação das Políticas de Investimento e Rentabilidade - Fundos de Investimento</w:t>
      </w:r>
    </w:p>
    <w:p w14:paraId="1144BA9E" w14:textId="107BB40C" w:rsidR="00424D64" w:rsidRDefault="00424D64" w:rsidP="00424D64">
      <w:r>
        <w:t>DOCUMENTOS DOS FUNDOS DE INVESTIMENTOS:</w:t>
      </w:r>
    </w:p>
    <w:p w14:paraId="708B65EE" w14:textId="74B6DBE4" w:rsidR="00424D64" w:rsidRDefault="00424D64" w:rsidP="00424D64">
      <w:r>
        <w:t>REGULAMENTO: Possui todas as informações do Fundo.</w:t>
      </w:r>
    </w:p>
    <w:p w14:paraId="57893520" w14:textId="261EA820" w:rsidR="00424D64" w:rsidRDefault="00424D64" w:rsidP="00424D64">
      <w:r>
        <w:t>Vamos começar falando do maior e mais importe documento de todos. É no regulamento que estão todas as Políticas de Investimentos, explicando a forma de como a gestão do fundo irá atingir o seu objetivo e metas pretendidas, além de conter outras informações como:</w:t>
      </w:r>
    </w:p>
    <w:p w14:paraId="243CAE3C" w14:textId="0124957E" w:rsidR="00424D64" w:rsidRDefault="00424D64" w:rsidP="00424D64">
      <w:r>
        <w:t>○ qualificação do administrador e do gestor da carteira do fundo;</w:t>
      </w:r>
    </w:p>
    <w:p w14:paraId="4158608D" w14:textId="7387A949" w:rsidR="00424D64" w:rsidRDefault="00424D64" w:rsidP="00424D64">
      <w:r>
        <w:t>○ qualificação do custodiante;</w:t>
      </w:r>
    </w:p>
    <w:p w14:paraId="2FFDDA33" w14:textId="36763D4C" w:rsidR="00424D64" w:rsidRDefault="00424D64" w:rsidP="00424D64">
      <w:r>
        <w:t>○ espécie do fundo, se aberto ou fechado;</w:t>
      </w:r>
    </w:p>
    <w:p w14:paraId="3946A60C" w14:textId="711A61A6" w:rsidR="00424D64" w:rsidRDefault="00424D64" w:rsidP="00424D64">
      <w:r>
        <w:t>○ prazo de duração, se determinado ou indeterminado; ○ política de investimento, de forma a caracterizar a classe do fundo;</w:t>
      </w:r>
    </w:p>
    <w:p w14:paraId="15F1A722" w14:textId="1C2123BB" w:rsidR="00424D64" w:rsidRDefault="00424D64" w:rsidP="00424D64">
      <w:r>
        <w:t>○ taxa de administração, taxas de performance, de ingresso e de saída, se houver;</w:t>
      </w:r>
    </w:p>
    <w:p w14:paraId="54FF8452" w14:textId="3E646B51" w:rsidR="00424D64" w:rsidRDefault="00424D64" w:rsidP="00424D64">
      <w:r>
        <w:t>○ demais despesas do fundo, desde que devidamente autorizadas; ○ condições para a aplicação e o resgate de cotas;</w:t>
      </w:r>
    </w:p>
    <w:p w14:paraId="0A775994" w14:textId="2D75C69D" w:rsidR="00424D64" w:rsidRDefault="00424D64" w:rsidP="00424D64">
      <w:r>
        <w:t xml:space="preserve"> ○ distribuição de resultados;</w:t>
      </w:r>
    </w:p>
    <w:p w14:paraId="614C6647" w14:textId="1A5133C1" w:rsidR="00424D64" w:rsidRDefault="00424D64" w:rsidP="00424D64">
      <w:r>
        <w:t>○ público-alvo;</w:t>
      </w:r>
    </w:p>
    <w:p w14:paraId="5814FA09" w14:textId="7F7D99A1" w:rsidR="00424D64" w:rsidRDefault="00424D64" w:rsidP="00424D64">
      <w:r>
        <w:t>○ referência ao estabelecimento de intervalo para a atualização do valor da cota, quando for o caso;</w:t>
      </w:r>
    </w:p>
    <w:p w14:paraId="38AFF3FF" w14:textId="4B25AD7E" w:rsidR="00424D64" w:rsidRDefault="00424D64" w:rsidP="00424D64">
      <w:r>
        <w:t>○ exercício social do fundo;</w:t>
      </w:r>
    </w:p>
    <w:p w14:paraId="44E3C8A6" w14:textId="4E165E1F" w:rsidR="00424D64" w:rsidRDefault="00424D64" w:rsidP="00424D64">
      <w:r>
        <w:t>○ política de divulgação de informações a interessados, inclusive as relativas à composição de carteira;</w:t>
      </w:r>
    </w:p>
    <w:p w14:paraId="0CB4A22A" w14:textId="05CABF37" w:rsidR="00424D64" w:rsidRDefault="00424D64" w:rsidP="00424D64">
      <w:r>
        <w:lastRenderedPageBreak/>
        <w:t>○ política relativa ao exercício de direito do voto do fundo, pelo administrador ou por seus representantes legalmente constituídos, em assembleias gerais das companhias nas quais o fundo detenha participação;</w:t>
      </w:r>
    </w:p>
    <w:p w14:paraId="798ECF2B" w14:textId="2D3C8518" w:rsidR="00424D64" w:rsidRDefault="00424D64" w:rsidP="00424D64">
      <w:r>
        <w:t>○ informação sobre a tributação aplicável ao fundo e a seus cotistas;</w:t>
      </w:r>
    </w:p>
    <w:p w14:paraId="2397542E" w14:textId="26F201D1" w:rsidR="00424D64" w:rsidRDefault="00424D64" w:rsidP="00424D64">
      <w:r>
        <w:t>○ política de administração de risco, com a descrição dos métodos utilizados pelo administrador para gerenciar os riscos a que o fundo se encontra sujeito.</w:t>
      </w:r>
    </w:p>
    <w:p w14:paraId="322F5CBF" w14:textId="24608C45" w:rsidR="00424D64" w:rsidRDefault="00424D64" w:rsidP="00424D64">
      <w:r>
        <w:t>LÂMINA: Resumo de todas as informações essenciais de no máximo uma página. Este documento deve ser atualizado mensalmente e deve conter as informações, como:</w:t>
      </w:r>
    </w:p>
    <w:p w14:paraId="21B0C555" w14:textId="4D97B0F8" w:rsidR="00424D64" w:rsidRDefault="00424D64" w:rsidP="00424D64">
      <w:r>
        <w:t>○ público-alvo e restrições de investimento;</w:t>
      </w:r>
    </w:p>
    <w:p w14:paraId="2DA36A28" w14:textId="057AA850" w:rsidR="00424D64" w:rsidRDefault="00424D64" w:rsidP="00424D64">
      <w:r>
        <w:t>○ descrição resumida da política de investimento do fundo, incluindo os limites de aplicação em ativos no exterior, em crédito privado, o limite de alavancagem, quando houver, e se o fundo utiliza derivativos apenas para proteção da carteira;</w:t>
      </w:r>
    </w:p>
    <w:p w14:paraId="4E40386C" w14:textId="4F6D04DE" w:rsidR="00424D64" w:rsidRDefault="00424D64" w:rsidP="00424D64">
      <w:r>
        <w:t>○ informações sobre investimento mínimo, carência, condições de resgate, taxas cobradas;</w:t>
      </w:r>
    </w:p>
    <w:p w14:paraId="68DAC35C" w14:textId="1F1BB850" w:rsidR="00424D64" w:rsidRDefault="00424D64" w:rsidP="00424D64">
      <w:r>
        <w:t>○ a composição da carteira do fundo, incluindo o patrimônio líquido e as cinco espécies de ativos em que ele concentra seus investimentos;</w:t>
      </w:r>
    </w:p>
    <w:p w14:paraId="3FEBB1BF" w14:textId="5E132267" w:rsidR="00424D64" w:rsidRDefault="00424D64" w:rsidP="00424D64">
      <w:r>
        <w:t>○ a classificação de risco que o administrador atribui ao fundo, considerando a estratégia de investimento adotada, que vai de 1, menor risco, a 5, maior risco;</w:t>
      </w:r>
    </w:p>
    <w:p w14:paraId="616FF565" w14:textId="1A1CCDE2" w:rsidR="00424D64" w:rsidRDefault="00424D64" w:rsidP="00424D64">
      <w:r>
        <w:t>○ histórico de rentabilidade; ○ exemplo comparativo e simulação de despesa; ○ descrição resumida da política de distribuição do fundo;</w:t>
      </w:r>
    </w:p>
    <w:p w14:paraId="14672370" w14:textId="41B00E2E" w:rsidR="00424D64" w:rsidRDefault="00424D64" w:rsidP="00424D64">
      <w:r>
        <w:t>○ informações sobre o serviço de atendimento ao cotista.</w:t>
      </w:r>
    </w:p>
    <w:p w14:paraId="1BA6A812" w14:textId="531E04EE" w:rsidR="00424D64" w:rsidRDefault="00424D64" w:rsidP="00424D64">
      <w:r>
        <w:t>TERMO DEADESÃO: É o documento que dá ciência do investidor, onde o cotista declara que está ciente de todos os riscos. Este termo deve conter no máximo 5.000 caracteres e apresentar os 5 principais fatores de riscos inerentes na composição da carteira. Um cotista que resgata todos os seus recursos e depois num segundo momento volta, não precisa assinar novamente o termo. A menos que tenha alguma alteração.</w:t>
      </w:r>
    </w:p>
    <w:p w14:paraId="4AA769DA" w14:textId="383B27DD" w:rsidR="00424D64" w:rsidRDefault="00424D64" w:rsidP="00424D64">
      <w:r>
        <w:t>DEMOSNTRAÇÃO DE DESEMPENHO DO FUNDO: Consta a rentabilidade mensal, anual, dos últimos 5 anos e apresenta também as despesas debitadas do patrimônio do fundo, que reduzem a rentabilidade. apresenta a rentabilidade mensal, anual, dos últimos 5 anos e apresenta também as despesas debitadas do patrimônio do fundo, que reduzem a rentabilidade. A divulgação deve ser feita até o último dia útil de fevereiro de cada ano. E a demonstração de desempenho do fundo relativo aos 12 meses com encerramento de 30 de junho, devendo fazer a divulgação até o último dia útil de agosto de cada ano.</w:t>
      </w:r>
    </w:p>
    <w:p w14:paraId="50751E54" w14:textId="0EF33B84" w:rsidR="00424D64" w:rsidRDefault="00424D64" w:rsidP="00424D64">
      <w:r>
        <w:rPr>
          <w:noProof/>
        </w:rPr>
        <w:lastRenderedPageBreak/>
        <w:drawing>
          <wp:inline distT="0" distB="0" distL="0" distR="0" wp14:anchorId="74ADF2AB" wp14:editId="7B9BCF8D">
            <wp:extent cx="5400040" cy="2276475"/>
            <wp:effectExtent l="0" t="0" r="0" b="952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2276475"/>
                    </a:xfrm>
                    <a:prstGeom prst="rect">
                      <a:avLst/>
                    </a:prstGeom>
                    <a:noFill/>
                    <a:ln>
                      <a:noFill/>
                    </a:ln>
                  </pic:spPr>
                </pic:pic>
              </a:graphicData>
            </a:graphic>
          </wp:inline>
        </w:drawing>
      </w:r>
    </w:p>
    <w:p w14:paraId="243EEFC0" w14:textId="095BA682" w:rsidR="00424D64" w:rsidRDefault="0016562A" w:rsidP="00424D64">
      <w:r w:rsidRPr="0016562A">
        <w:t>Carteira de Investimento</w:t>
      </w:r>
    </w:p>
    <w:p w14:paraId="708CBBFF" w14:textId="46249298" w:rsidR="0016562A" w:rsidRDefault="0016562A" w:rsidP="0016562A">
      <w:r>
        <w:t>CARTEIRA DE INVESTIMENTOS:</w:t>
      </w:r>
    </w:p>
    <w:p w14:paraId="5F7664FE" w14:textId="0418A3A5" w:rsidR="0016562A" w:rsidRDefault="0016562A" w:rsidP="0016562A">
      <w:r>
        <w:t>É um conjunto de ativos que o investidor adquire ou que um fundo de investimento administra, possibilitando uma rentabilidade a um determinado risco.</w:t>
      </w:r>
    </w:p>
    <w:p w14:paraId="05CF30C9" w14:textId="404A9CED" w:rsidR="0016562A" w:rsidRDefault="0016562A" w:rsidP="0016562A">
      <w:r>
        <w:t>Ao constituir uma carteira de investimento é importante se atentar aos seguintes mercados, te possibilitando criar uma carteira diversificada e que dê retorno:</w:t>
      </w:r>
    </w:p>
    <w:p w14:paraId="788F3E12" w14:textId="77777777" w:rsidR="0016562A" w:rsidRDefault="0016562A" w:rsidP="0016562A">
      <w:r>
        <w:t>Juros prefixados;</w:t>
      </w:r>
    </w:p>
    <w:p w14:paraId="2A4D3B71" w14:textId="77777777" w:rsidR="0016562A" w:rsidRDefault="0016562A" w:rsidP="0016562A">
      <w:r>
        <w:t>Juros pós-fixados;</w:t>
      </w:r>
    </w:p>
    <w:p w14:paraId="6FEE1E1D" w14:textId="77777777" w:rsidR="0016562A" w:rsidRDefault="0016562A" w:rsidP="0016562A">
      <w:r>
        <w:t>Câmbio;</w:t>
      </w:r>
    </w:p>
    <w:p w14:paraId="1D0623FE" w14:textId="77777777" w:rsidR="0016562A" w:rsidRDefault="0016562A" w:rsidP="0016562A">
      <w:r>
        <w:t>Inflação;</w:t>
      </w:r>
    </w:p>
    <w:p w14:paraId="0F9F78A8" w14:textId="77777777" w:rsidR="0016562A" w:rsidRDefault="0016562A" w:rsidP="0016562A">
      <w:r>
        <w:t>Ações.</w:t>
      </w:r>
    </w:p>
    <w:p w14:paraId="1D3818B0" w14:textId="0972FB7B" w:rsidR="0016562A" w:rsidRDefault="0016562A" w:rsidP="0016562A">
      <w:r>
        <w:t>Juros prefixados: ativos que mantém sua taxa de remuneração, independente das oscilações do mercado.</w:t>
      </w:r>
    </w:p>
    <w:p w14:paraId="0A5616FD" w14:textId="2677B56A" w:rsidR="0016562A" w:rsidRDefault="0016562A" w:rsidP="0016562A">
      <w:r>
        <w:t>Vantagem: quando a taxa de juros tem uma queda</w:t>
      </w:r>
    </w:p>
    <w:p w14:paraId="18E950E0" w14:textId="59777627" w:rsidR="0016562A" w:rsidRDefault="0016562A" w:rsidP="0016562A">
      <w:r>
        <w:t>Desvantagem: quando a taxa de juros tem uma subida superior a taxa do ativo.</w:t>
      </w:r>
    </w:p>
    <w:p w14:paraId="5BE617BD" w14:textId="56FC9D6B" w:rsidR="0016562A" w:rsidRDefault="0016562A" w:rsidP="0016562A">
      <w:r>
        <w:t>Juros pós-fixados: ativos que possuem a rentabilidade por juros pós-fixados, são aqueles que apresentam oscilação na rentabilidade, de acordo que a taxa de juros oscila.</w:t>
      </w:r>
    </w:p>
    <w:p w14:paraId="4A02D456" w14:textId="342FF740" w:rsidR="0016562A" w:rsidRDefault="0016562A" w:rsidP="0016562A">
      <w:r>
        <w:t>Exemplo: Investimentos que visam ter uma remuneração maior que a inflação do país, ou seja, que oscilam conforme o IPCA oscila. Um título que realiza este processo: NTN-B ou Tesouro IPCA.</w:t>
      </w:r>
    </w:p>
    <w:p w14:paraId="26BDB713" w14:textId="2F2D22E0" w:rsidR="0016562A" w:rsidRDefault="0016562A" w:rsidP="0016562A">
      <w:r>
        <w:t>Taxas: SELIC, IPCA, DI e outras.</w:t>
      </w:r>
    </w:p>
    <w:p w14:paraId="572522A7" w14:textId="77777777" w:rsidR="0016562A" w:rsidRDefault="0016562A" w:rsidP="0016562A">
      <w:r>
        <w:t>Câmbio: estamos dispostos ao risco cambial, ou seja, do real se desvalorizar em comparação ao dólar e outras moedas internacionais.</w:t>
      </w:r>
    </w:p>
    <w:p w14:paraId="491F324D" w14:textId="719FAFEF" w:rsidR="0016562A" w:rsidRDefault="0016562A" w:rsidP="0016562A">
      <w:r>
        <w:t>Logo, investir em ativos que possibilitam lucrar sobre essas oscilações de desvalorização é vantajoso para o investidor. Seja investindo no exterior ou comprando títulos brasileiros que são sensíveis a estas oscilações.</w:t>
      </w:r>
    </w:p>
    <w:p w14:paraId="526427C0" w14:textId="162D4562" w:rsidR="0016562A" w:rsidRDefault="0016562A" w:rsidP="0016562A">
      <w:r>
        <w:lastRenderedPageBreak/>
        <w:t>Exemplo: ações da SUZANO (SUZB3).</w:t>
      </w:r>
    </w:p>
    <w:p w14:paraId="610A975F" w14:textId="61CB8742" w:rsidR="0016562A" w:rsidRDefault="0016562A" w:rsidP="0016562A">
      <w:r>
        <w:t>Inflação: é a perda do poder de compra do indivíduo. Todos estão sujeitos a inflação e por óbvio, seus investimentos também.</w:t>
      </w:r>
    </w:p>
    <w:p w14:paraId="27064417" w14:textId="5810D3D4" w:rsidR="0016562A" w:rsidRDefault="0016562A" w:rsidP="0016562A">
      <w:r>
        <w:t>Como já abordamos em pós-fixados, é possível se defender da perda do poder aquisitivo e ainda por cima ganhar alguma rentabilidade, investindo em ativos que utilizam a inflação como taxa de juros.</w:t>
      </w:r>
    </w:p>
    <w:p w14:paraId="596D6699" w14:textId="189B5897" w:rsidR="0016562A" w:rsidRDefault="0016562A" w:rsidP="0016562A">
      <w:r>
        <w:t>Seja investimentos atrelados ao IPCA (IBGE) ou pelo IGP-M (FGV).</w:t>
      </w:r>
    </w:p>
    <w:p w14:paraId="5B3E28E3" w14:textId="1AA253E7" w:rsidR="0016562A" w:rsidRDefault="0016562A" w:rsidP="0016562A">
      <w:r>
        <w:t>Ações: são ativos que possuem um risco mais alto, em comparação a títulos de renda fixa.</w:t>
      </w:r>
    </w:p>
    <w:p w14:paraId="53F1DBC2" w14:textId="60797D7D" w:rsidR="0016562A" w:rsidRDefault="0016562A" w:rsidP="0016562A">
      <w:r>
        <w:t>No Brasil, temos a B3, a única bolsa de valores brasileira que faz o processo de custódia e clearing das ações e outros ativos do mercado financeiro.</w:t>
      </w:r>
    </w:p>
    <w:p w14:paraId="12597CC9" w14:textId="2FD00392" w:rsidR="0016562A" w:rsidRDefault="0016562A" w:rsidP="0016562A">
      <w:r>
        <w:t>Como existem ações de diversas empresas e de diferentes setores, é possível obter uma lucratividade seja em negociações de compra e venda ou pelos direitos societários de quem compra as ações.</w:t>
      </w:r>
    </w:p>
    <w:p w14:paraId="53913553" w14:textId="5A25C5BD" w:rsidR="0016562A" w:rsidRDefault="0016562A" w:rsidP="0016562A">
      <w:r>
        <w:t>Cada ação possui suas particularidade e riscos. Por isso devem ser analisadas quais melhor compõem a carteira de investimento em questão.</w:t>
      </w:r>
    </w:p>
    <w:p w14:paraId="10FB8CCF" w14:textId="761FCB5C" w:rsidR="0016562A" w:rsidRDefault="0016562A" w:rsidP="0016562A">
      <w:r>
        <w:t>Alavancagem: um fundo alavancado é aquele que existe a possibilidade de perda superior ao valor de patrimônio do fundo.</w:t>
      </w:r>
    </w:p>
    <w:p w14:paraId="77E1FAC2" w14:textId="3CC9713F" w:rsidR="0016562A" w:rsidRDefault="0016562A" w:rsidP="0016562A">
      <w:r>
        <w:t>Utilizando derivativos, os fundos aumentam sua exposição para com o mercado.</w:t>
      </w:r>
    </w:p>
    <w:p w14:paraId="317A1739" w14:textId="170A5C39" w:rsidR="0016562A" w:rsidRDefault="0016562A" w:rsidP="0016562A">
      <w:r>
        <w:t>Isso possibilita o fundo ter uma maior lucratividade ou a possibilidade de ter um maior prejuízo.</w:t>
      </w:r>
    </w:p>
    <w:p w14:paraId="1C0F72F7" w14:textId="0380C47D" w:rsidR="0016562A" w:rsidRDefault="0016562A" w:rsidP="0016562A">
      <w:r>
        <w:t>Alavancar é igual a aumentar o risco do fundo, já que acaba aumentando a volatilidade dos ativos do fundo.</w:t>
      </w:r>
    </w:p>
    <w:p w14:paraId="7DFE9159" w14:textId="767E30AF" w:rsidR="0016562A" w:rsidRDefault="0016562A" w:rsidP="0016562A">
      <w:r>
        <w:rPr>
          <w:noProof/>
        </w:rPr>
        <w:drawing>
          <wp:inline distT="0" distB="0" distL="0" distR="0" wp14:anchorId="17B27C79" wp14:editId="1BB52439">
            <wp:extent cx="5400040" cy="275209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2752090"/>
                    </a:xfrm>
                    <a:prstGeom prst="rect">
                      <a:avLst/>
                    </a:prstGeom>
                    <a:noFill/>
                    <a:ln>
                      <a:noFill/>
                    </a:ln>
                  </pic:spPr>
                </pic:pic>
              </a:graphicData>
            </a:graphic>
          </wp:inline>
        </w:drawing>
      </w:r>
    </w:p>
    <w:p w14:paraId="6B201C48" w14:textId="77777777" w:rsidR="00553CD0" w:rsidRDefault="00553CD0" w:rsidP="0016562A"/>
    <w:p w14:paraId="2D5E1309" w14:textId="77777777" w:rsidR="00553CD0" w:rsidRDefault="00553CD0" w:rsidP="0016562A"/>
    <w:p w14:paraId="48B2ACBC" w14:textId="77777777" w:rsidR="00553CD0" w:rsidRDefault="00553CD0" w:rsidP="0016562A"/>
    <w:p w14:paraId="621EAD12" w14:textId="09998237" w:rsidR="0016562A" w:rsidRDefault="00553CD0" w:rsidP="0016562A">
      <w:r w:rsidRPr="00553CD0">
        <w:lastRenderedPageBreak/>
        <w:t>Taxas de Administração e Outras Taxas dos Fundos</w:t>
      </w:r>
    </w:p>
    <w:p w14:paraId="6955265D" w14:textId="4FB8A92A" w:rsidR="00553CD0" w:rsidRDefault="00553CD0" w:rsidP="00553CD0">
      <w:r>
        <w:t>Como sabemos até aqui, um fundo de investimento é uma prestação de serviço. Outra coisa que é amplamente difundido no mercado financeiro é que “não existe almoço de graça” em lugar nenhum. Ou seja, para o investidor investir em um fundo de investimento, terá custos. Os custos dos fundos investimentos são as taxas, conforme abaixo:</w:t>
      </w:r>
    </w:p>
    <w:p w14:paraId="5B730635" w14:textId="7A3E9568" w:rsidR="00553CD0" w:rsidRDefault="00553CD0" w:rsidP="00553CD0">
      <w:r>
        <w:rPr>
          <w:rFonts w:ascii="Segoe UI Symbol" w:hAnsi="Segoe UI Symbol" w:cs="Segoe UI Symbol"/>
        </w:rPr>
        <w:t>⯀</w:t>
      </w:r>
      <w:r>
        <w:t xml:space="preserve"> Taxa de administração: é uma taxa fixa, expressa em percentual ao ano e é cobrada e deduzida diariamente no patrimônio líquido do fundo. A cobrança de taxa de administração afeta o valor da cota. A rentabilidade divulgada pelos fundos de investimento é sempre líquida de taxa de administração, por isso sempre instrua seu cliente sobre estes custos;</w:t>
      </w:r>
    </w:p>
    <w:p w14:paraId="3A053BD3" w14:textId="4DF6BF3A" w:rsidR="00553CD0" w:rsidRDefault="00553CD0" w:rsidP="00553CD0">
      <w:r>
        <w:rPr>
          <w:rFonts w:ascii="Segoe UI Symbol" w:hAnsi="Segoe UI Symbol" w:cs="Segoe UI Symbol"/>
        </w:rPr>
        <w:t>⯀</w:t>
      </w:r>
      <w:r>
        <w:t xml:space="preserve"> Taxa de performance: É o percentual cobrado do cotista quando a rentabilidade do fundo supera a de um indicador de referência. Um fundo ativo pode cobrar (se previsto no regulamento) a taxa de performance desde que essa seja limitada a 20% do que exceder o benchmark e com o período de mínimo de 180 dias. Vamos exemplificar a taxa de performance. Imagine um fundo ativo que tenha como objetivo superar o Ibovespa: resultado do Ibovespa no período foi de 10% e do fundo foi de 15%. Dessa  forma, o fundo superou seu benchmark em 5%. Assim, o fundo pode cobrar no máximo 20% sobre o que excedeu, resultando em 1% (dos 5% superados). Portanto, o fundo entregaria uma rentabilidade de aproximadamente 14%. A taxa de performance pode ser cobrada somente depois de ser deduzido todas as outras despesas do fundo;</w:t>
      </w:r>
    </w:p>
    <w:p w14:paraId="0545ACFD" w14:textId="0E12E512" w:rsidR="00553CD0" w:rsidRDefault="00553CD0" w:rsidP="00553CD0">
      <w:r>
        <w:rPr>
          <w:rFonts w:ascii="Segoe UI Symbol" w:hAnsi="Segoe UI Symbol" w:cs="Segoe UI Symbol"/>
        </w:rPr>
        <w:t>⯀</w:t>
      </w:r>
      <w:r>
        <w:t xml:space="preserve"> Taxa de entrada (na aplicação): embora não seja usual no mercado, a legislação prevê que o fundo pode, desde que previsto em regulamento, cobrar para o investidor entrar no fundo;</w:t>
      </w:r>
    </w:p>
    <w:p w14:paraId="6A4B5C4E" w14:textId="05EAA495" w:rsidR="00553CD0" w:rsidRDefault="00553CD0" w:rsidP="00553CD0">
      <w:r>
        <w:rPr>
          <w:rFonts w:ascii="Segoe UI Symbol" w:hAnsi="Segoe UI Symbol" w:cs="Segoe UI Symbol"/>
        </w:rPr>
        <w:t>⯀</w:t>
      </w:r>
      <w:r>
        <w:t xml:space="preserve"> Taxa de saída (no resgate): assim como a taxa de entrada, não é usual, mas é permitido que o fundo cobre de investidor para sair do fundo.</w:t>
      </w:r>
    </w:p>
    <w:p w14:paraId="54546539" w14:textId="15B88EB8" w:rsidR="00553CD0" w:rsidRDefault="00553CD0" w:rsidP="00553CD0">
      <w:r>
        <w:t>Existem outras despesas que os cotistas pagam e são previstas no regulamento do fundo, como:</w:t>
      </w:r>
    </w:p>
    <w:p w14:paraId="02818045" w14:textId="6447F139" w:rsidR="00553CD0" w:rsidRDefault="00553CD0" w:rsidP="00553CD0">
      <w:r>
        <w:t>○ impressão, envio e publicação de relatórios.</w:t>
      </w:r>
    </w:p>
    <w:p w14:paraId="7368AE4D" w14:textId="36FE0361" w:rsidR="00553CD0" w:rsidRDefault="00553CD0" w:rsidP="00553CD0">
      <w:r>
        <w:t>○ envio de correspondências como convocações e comunicados aos cotistas.</w:t>
      </w:r>
    </w:p>
    <w:p w14:paraId="61252A41" w14:textId="49D47AC0" w:rsidR="00553CD0" w:rsidRDefault="00553CD0" w:rsidP="00553CD0">
      <w:r>
        <w:t>○ honorários de auditores independentes.</w:t>
      </w:r>
    </w:p>
    <w:p w14:paraId="42A8B788" w14:textId="57884EE8" w:rsidR="00424D64" w:rsidRDefault="00553CD0" w:rsidP="00424D64">
      <w:r>
        <w:rPr>
          <w:noProof/>
        </w:rPr>
        <w:lastRenderedPageBreak/>
        <w:drawing>
          <wp:inline distT="0" distB="0" distL="0" distR="0" wp14:anchorId="716C5C43" wp14:editId="073FF41F">
            <wp:extent cx="5400040" cy="2837815"/>
            <wp:effectExtent l="0" t="0" r="0" b="63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2837815"/>
                    </a:xfrm>
                    <a:prstGeom prst="rect">
                      <a:avLst/>
                    </a:prstGeom>
                    <a:noFill/>
                    <a:ln>
                      <a:noFill/>
                    </a:ln>
                  </pic:spPr>
                </pic:pic>
              </a:graphicData>
            </a:graphic>
          </wp:inline>
        </w:drawing>
      </w:r>
    </w:p>
    <w:p w14:paraId="2A16400F" w14:textId="23481205" w:rsidR="009A1BDB" w:rsidRDefault="00E856B4" w:rsidP="005A4E54">
      <w:r w:rsidRPr="00E856B4">
        <w:t>Fechamento dos Fundos para Resgate e Aplicações</w:t>
      </w:r>
    </w:p>
    <w:p w14:paraId="3B08596F" w14:textId="3ECE2F4A" w:rsidR="00E856B4" w:rsidRDefault="00E856B4" w:rsidP="00E856B4">
      <w:r>
        <w:t>FECHAMENTO DOS FUNDOS PARA RESGATE E APLICAÇÕES</w:t>
      </w:r>
    </w:p>
    <w:p w14:paraId="3ED0314D" w14:textId="1971AC73" w:rsidR="00E856B4" w:rsidRDefault="00E856B4" w:rsidP="00E856B4">
      <w:r>
        <w:t>Quando um Fundo fecha para resgate não há como retirar o valor aplicado até a data prevista no anuncia do fechamento, nem mesmo fazer novas aplicações;</w:t>
      </w:r>
    </w:p>
    <w:p w14:paraId="270145DD" w14:textId="187E33FD" w:rsidR="00E856B4" w:rsidRDefault="00E856B4" w:rsidP="00E856B4">
      <w:r>
        <w:t>Após comunicar o fechamento, em 5 dias, o gestor do fundo deve convocar uma assembleia com os cotistas para decidir o que fazer;</w:t>
      </w:r>
    </w:p>
    <w:p w14:paraId="57BE8B38" w14:textId="3C9D256F" w:rsidR="00E856B4" w:rsidRDefault="00E856B4" w:rsidP="00E856B4">
      <w:r>
        <w:t>O gestor chama os clientes daquele fundo para explicar as possibilidades e para que seja decidido qual caminho seguir: continuar com o fundo fechado, reabrir ou iniciar o pagamento dos resgates com o patrimônio/valores do fundo (isso está na regulamentação). Então no fim, quem decide o que vai acontecer são os próprios cotistas do fundo.</w:t>
      </w:r>
    </w:p>
    <w:p w14:paraId="6189AB1A" w14:textId="73B1F9D3" w:rsidR="00E856B4" w:rsidRDefault="00E856B4" w:rsidP="00E856B4">
      <w:r>
        <w:t>Como consequência de uma boa performance, a procura aumenta e, com isso, o valor máximo é atingido de forma mais rápida. Neste caso, fechar o fundo é um cuidado que o gestor tem para manter as estratégias traçadas e continuar entregando bons resultados aos cotistas.</w:t>
      </w:r>
    </w:p>
    <w:p w14:paraId="1EE80756" w14:textId="38F17F8F" w:rsidR="00E856B4" w:rsidRDefault="00E856B4" w:rsidP="00E856B4">
      <w:r>
        <w:t>O fechamento de um fundo pode ocorrer a qualquer momento e não há um período determinado para que ele fique fechado.  Em alguns casos, ele pode não reabrir mais.</w:t>
      </w:r>
    </w:p>
    <w:p w14:paraId="23B76B3D" w14:textId="6AE83392" w:rsidR="00E856B4" w:rsidRDefault="00E856B4" w:rsidP="00E856B4">
      <w:r>
        <w:rPr>
          <w:noProof/>
        </w:rPr>
        <w:lastRenderedPageBreak/>
        <w:drawing>
          <wp:inline distT="0" distB="0" distL="0" distR="0" wp14:anchorId="5FCEE81B" wp14:editId="69C16A33">
            <wp:extent cx="5391150" cy="2847975"/>
            <wp:effectExtent l="0" t="0" r="0" b="952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1150" cy="2847975"/>
                    </a:xfrm>
                    <a:prstGeom prst="rect">
                      <a:avLst/>
                    </a:prstGeom>
                    <a:noFill/>
                    <a:ln>
                      <a:noFill/>
                    </a:ln>
                  </pic:spPr>
                </pic:pic>
              </a:graphicData>
            </a:graphic>
          </wp:inline>
        </w:drawing>
      </w:r>
    </w:p>
    <w:p w14:paraId="690F5881" w14:textId="2EF552F5" w:rsidR="00E856B4" w:rsidRDefault="00E856B4" w:rsidP="00E856B4">
      <w:r w:rsidRPr="00E856B4">
        <w:t>Aplicações por Conta e Ordem</w:t>
      </w:r>
    </w:p>
    <w:p w14:paraId="147C4544" w14:textId="12FF4998" w:rsidR="00E856B4" w:rsidRDefault="00E856B4" w:rsidP="00E856B4">
      <w:r>
        <w:rPr>
          <w:noProof/>
        </w:rPr>
        <w:drawing>
          <wp:inline distT="0" distB="0" distL="0" distR="0" wp14:anchorId="0DEBF61E" wp14:editId="726C439A">
            <wp:extent cx="5400040" cy="2581275"/>
            <wp:effectExtent l="0" t="0" r="0" b="952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2581275"/>
                    </a:xfrm>
                    <a:prstGeom prst="rect">
                      <a:avLst/>
                    </a:prstGeom>
                    <a:noFill/>
                    <a:ln>
                      <a:noFill/>
                    </a:ln>
                  </pic:spPr>
                </pic:pic>
              </a:graphicData>
            </a:graphic>
          </wp:inline>
        </w:drawing>
      </w:r>
    </w:p>
    <w:p w14:paraId="6B1C0591" w14:textId="4020EC98" w:rsidR="00E856B4" w:rsidRDefault="00E856B4" w:rsidP="00E856B4">
      <w:r>
        <w:t>PRINCIPAIS ESTRATÉGIAS DE GESTÃO</w:t>
      </w:r>
    </w:p>
    <w:p w14:paraId="201F1F40" w14:textId="4A2153EB" w:rsidR="00E856B4" w:rsidRDefault="00E856B4" w:rsidP="00E856B4">
      <w:r>
        <w:t>Temos duas principais formas de gestão dentro dos fundos de investimentos:</w:t>
      </w:r>
    </w:p>
    <w:p w14:paraId="15000534" w14:textId="7B9D29E5" w:rsidR="00E856B4" w:rsidRDefault="00E856B4" w:rsidP="00E856B4">
      <w:r>
        <w:t>Gestão Ativa: onde o gestor terá a liberdade para fazer a alocação dos ativos que irão compor a carteira do fundo;</w:t>
      </w:r>
    </w:p>
    <w:p w14:paraId="36CD8824" w14:textId="575D39FD" w:rsidR="00E856B4" w:rsidRDefault="00E856B4" w:rsidP="00E856B4">
      <w:r>
        <w:t>Gestão Passiva: onde não existe uma liberdade para investimentos comparada à anterior, apenas irá acompanhar o benchmark.</w:t>
      </w:r>
    </w:p>
    <w:p w14:paraId="6319F38D" w14:textId="2E868C3B" w:rsidR="00E856B4" w:rsidRDefault="00E856B4" w:rsidP="00E856B4">
      <w:r>
        <w:t>GESTÃO ATIVA</w:t>
      </w:r>
    </w:p>
    <w:p w14:paraId="46F18BAA" w14:textId="7ABE8DCB" w:rsidR="00E856B4" w:rsidRDefault="00E856B4" w:rsidP="00E856B4">
      <w:r>
        <w:t>Na gestão ativa, a meta é obter uma rentabilidade superior a do benchmark de referência;</w:t>
      </w:r>
    </w:p>
    <w:p w14:paraId="3B87D897" w14:textId="77777777" w:rsidR="00E856B4" w:rsidRDefault="00E856B4" w:rsidP="00E856B4">
      <w:r>
        <w:t>O gestor irá buscar ativos para a carteira com o intuito de trazer rentabilidade aos cotistas do fundo;</w:t>
      </w:r>
    </w:p>
    <w:p w14:paraId="644FF0CF" w14:textId="7B52A731" w:rsidR="00E856B4" w:rsidRDefault="00E856B4" w:rsidP="00E856B4">
      <w:r>
        <w:t>Mais indicado para investidores dispostos a tomarem risco, já que a carteira pode oscilar bastante;</w:t>
      </w:r>
    </w:p>
    <w:p w14:paraId="69D61A20" w14:textId="77777777" w:rsidR="00E856B4" w:rsidRDefault="00E856B4" w:rsidP="00E856B4">
      <w:r>
        <w:lastRenderedPageBreak/>
        <w:t>Maior possibilidade de retorno acima do benchmark, caso o fundo tenha uma boa equipe de gestão, fazendo as melhores escolhas, será sempre uma vantagem;</w:t>
      </w:r>
    </w:p>
    <w:p w14:paraId="55B5312A" w14:textId="77777777" w:rsidR="00E856B4" w:rsidRDefault="00E856B4" w:rsidP="00E856B4"/>
    <w:p w14:paraId="6877B4CE" w14:textId="2CE50C25" w:rsidR="00E856B4" w:rsidRDefault="00E856B4" w:rsidP="00E856B4">
      <w:r>
        <w:t>O ponto negativo, é que existe um custo superior por essa experiência a ser embutido em maiores taxas de administração e performance;</w:t>
      </w:r>
    </w:p>
    <w:p w14:paraId="297DE76B" w14:textId="6A0FBF54" w:rsidR="00E856B4" w:rsidRDefault="00E856B4" w:rsidP="00E856B4">
      <w:r>
        <w:t>Outro risco, é não conseguir superar o benchmark, embora seja meta, não é garantia;</w:t>
      </w:r>
    </w:p>
    <w:p w14:paraId="1B3377D9" w14:textId="792BFC30" w:rsidR="00E856B4" w:rsidRDefault="00E856B4" w:rsidP="00E856B4">
      <w:r>
        <w:t>GESTÃO PASSIVA</w:t>
      </w:r>
    </w:p>
    <w:p w14:paraId="5691D2EB" w14:textId="2776B540" w:rsidR="00E856B4" w:rsidRDefault="00E856B4" w:rsidP="00E856B4">
      <w:r>
        <w:t>A gestão passiva irá apenas acompanhar o benchmark de referência, sempre o mais próximo possível do indicador;</w:t>
      </w:r>
    </w:p>
    <w:p w14:paraId="6EA420C0" w14:textId="10141CD0" w:rsidR="00E856B4" w:rsidRDefault="00E856B4" w:rsidP="00E856B4">
      <w:r>
        <w:t>Basicamente, podemos dizer que ele replica a performance do seu benchmark;</w:t>
      </w:r>
    </w:p>
    <w:p w14:paraId="13DD38A3" w14:textId="6EA212C1" w:rsidR="00E856B4" w:rsidRDefault="00E856B4" w:rsidP="00E856B4">
      <w:r>
        <w:t>A rentabilidade, também irá apenas acompanhar a variação de rentabilidade do indicador;</w:t>
      </w:r>
    </w:p>
    <w:p w14:paraId="2E0B08DC" w14:textId="5AB662FC" w:rsidR="00E856B4" w:rsidRDefault="00E856B4" w:rsidP="00E856B4">
      <w:r>
        <w:t>Por apenas acompanhar a rentabilidade, também terá taxas inferiores comparado aos fundos ativos;</w:t>
      </w:r>
    </w:p>
    <w:p w14:paraId="0BDC1A36" w14:textId="2200348A" w:rsidR="00E856B4" w:rsidRDefault="00E856B4" w:rsidP="00E856B4">
      <w:r>
        <w:t>Contam com taxas mais baixas por ser uma estratégia de replicação de um índice, não exigindo tanto trabalho de gestão;</w:t>
      </w:r>
    </w:p>
    <w:p w14:paraId="66B6FBB9" w14:textId="7CEC678C" w:rsidR="00E856B4" w:rsidRDefault="00E856B4" w:rsidP="00E856B4">
      <w:r>
        <w:t>O ponto negativo, é que por replicar o desempenho, não tem a possibilidade de retornos superiores acima das médias;</w:t>
      </w:r>
    </w:p>
    <w:p w14:paraId="144D68C3" w14:textId="1733B920" w:rsidR="00E856B4" w:rsidRDefault="00E856B4" w:rsidP="00E856B4">
      <w:r>
        <w:rPr>
          <w:noProof/>
        </w:rPr>
        <w:drawing>
          <wp:inline distT="0" distB="0" distL="0" distR="0" wp14:anchorId="760AB904" wp14:editId="3D26FAE2">
            <wp:extent cx="5391150" cy="203835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1150" cy="2038350"/>
                    </a:xfrm>
                    <a:prstGeom prst="rect">
                      <a:avLst/>
                    </a:prstGeom>
                    <a:noFill/>
                    <a:ln>
                      <a:noFill/>
                    </a:ln>
                  </pic:spPr>
                </pic:pic>
              </a:graphicData>
            </a:graphic>
          </wp:inline>
        </w:drawing>
      </w:r>
    </w:p>
    <w:p w14:paraId="3651D093" w14:textId="61CF67C2" w:rsidR="001820AA" w:rsidRDefault="001820AA" w:rsidP="00E856B4">
      <w:r w:rsidRPr="001820AA">
        <w:t>Classificação CVM</w:t>
      </w:r>
    </w:p>
    <w:p w14:paraId="417F7E2F" w14:textId="2469FD19" w:rsidR="001820AA" w:rsidRDefault="001820AA" w:rsidP="001820AA">
      <w:r>
        <w:t>Classificação CVM para Fundos de Investimento</w:t>
      </w:r>
    </w:p>
    <w:p w14:paraId="74FCDDB1" w14:textId="111F6826" w:rsidR="001820AA" w:rsidRDefault="001820AA" w:rsidP="001820AA">
      <w:r>
        <w:t>Esse é um tema que com certeza será bem cobrado em sua prova, e trata da maneira como os fundos de investimentos são classificados pela CVM. A classificação CVM classifica os fundos de acordo com o risco a que cada fundo vai se expor no mercado. Melhor dizendo, limita a atuação em ativos que não estejam de acordo com o objetivo do fundo</w:t>
      </w:r>
    </w:p>
    <w:p w14:paraId="44264D32" w14:textId="79148CC9" w:rsidR="001820AA" w:rsidRDefault="001820AA" w:rsidP="001820AA">
      <w:r>
        <w:t>Já que os ativos negociados no Mercado Financeiro possuem riscos diferentes entre si, nada mais prudente do que classificar os Fundos de Investimentos com base nos riscos que os fundos assumem ao comprar um ativo para sua carteira</w:t>
      </w:r>
    </w:p>
    <w:p w14:paraId="319A8E7A" w14:textId="1B6126A7" w:rsidR="001820AA" w:rsidRDefault="001820AA" w:rsidP="001820AA">
      <w:r>
        <w:t>A instrução normativa CVM 555 prevê que os fundos devem, de acordo com o mercado em que atuam, se enquadrar em uma categoria específica, sendo elas:</w:t>
      </w:r>
    </w:p>
    <w:p w14:paraId="12A3B9D2" w14:textId="32EF24BD" w:rsidR="001820AA" w:rsidRDefault="001820AA" w:rsidP="001820AA">
      <w:r>
        <w:rPr>
          <w:rFonts w:ascii="Segoe UI Symbol" w:hAnsi="Segoe UI Symbol" w:cs="Segoe UI Symbol"/>
        </w:rPr>
        <w:lastRenderedPageBreak/>
        <w:t>⯀</w:t>
      </w:r>
      <w:r>
        <w:t xml:space="preserve">  Fundo de Renda Fixa;</w:t>
      </w:r>
    </w:p>
    <w:p w14:paraId="13A49AC3" w14:textId="31B61FCF" w:rsidR="001820AA" w:rsidRDefault="001820AA" w:rsidP="001820AA">
      <w:r>
        <w:rPr>
          <w:rFonts w:ascii="Segoe UI Symbol" w:hAnsi="Segoe UI Symbol" w:cs="Segoe UI Symbol"/>
        </w:rPr>
        <w:t>⯀</w:t>
      </w:r>
      <w:r>
        <w:t xml:space="preserve"> Fundo Cambial; </w:t>
      </w:r>
    </w:p>
    <w:p w14:paraId="0DD9D21B" w14:textId="7FF694C4" w:rsidR="001820AA" w:rsidRDefault="001820AA" w:rsidP="001820AA">
      <w:r>
        <w:rPr>
          <w:rFonts w:ascii="Segoe UI Symbol" w:hAnsi="Segoe UI Symbol" w:cs="Segoe UI Symbol"/>
        </w:rPr>
        <w:t>⯀</w:t>
      </w:r>
      <w:r>
        <w:t xml:space="preserve"> Fundo Multimercado;</w:t>
      </w:r>
    </w:p>
    <w:p w14:paraId="4A382B75" w14:textId="303BC4B8" w:rsidR="001820AA" w:rsidRDefault="001820AA" w:rsidP="001820AA">
      <w:r>
        <w:rPr>
          <w:rFonts w:ascii="Segoe UI Symbol" w:hAnsi="Segoe UI Symbol" w:cs="Segoe UI Symbol"/>
        </w:rPr>
        <w:t>⯀</w:t>
      </w:r>
      <w:r>
        <w:t xml:space="preserve"> Fundo de Ações.</w:t>
      </w:r>
    </w:p>
    <w:p w14:paraId="4D9BFB34" w14:textId="0126C396" w:rsidR="001820AA" w:rsidRDefault="001820AA" w:rsidP="001820AA">
      <w:r>
        <w:t>Fundos de Renda Fixa</w:t>
      </w:r>
    </w:p>
    <w:p w14:paraId="61F7D9E0" w14:textId="4729F8D4" w:rsidR="001820AA" w:rsidRDefault="001820AA" w:rsidP="001820AA">
      <w:r>
        <w:t>Como o nome sugere, esse fundo aloca a maior parte (no mínimo 80%) de seus recursos em ativos de renda fixa. São fundos de natureza conservadora e buscam acompanhar a variação dos indicadores de Renda Fixa</w:t>
      </w:r>
    </w:p>
    <w:p w14:paraId="6CCC7A9B" w14:textId="7CEB38E4" w:rsidR="001820AA" w:rsidRDefault="001820AA" w:rsidP="001820AA">
      <w:r>
        <w:t>O que veremos a seguir é que mesmo no segmento de Renda Fixa, existem divisões que separam os fundos de acordo com a especificidade de Renda Fixa que eles exploram. Em outras palavras, temos subcategorias de fundos de Renda Fixa. Essas subcategorias são divididas conforme a tabela a seguir:</w:t>
      </w:r>
    </w:p>
    <w:p w14:paraId="66F280C8" w14:textId="42C5633A" w:rsidR="001820AA" w:rsidRDefault="001820AA" w:rsidP="001820AA">
      <w:r>
        <w:rPr>
          <w:noProof/>
        </w:rPr>
        <w:drawing>
          <wp:inline distT="0" distB="0" distL="0" distR="0" wp14:anchorId="149EDE3C" wp14:editId="7C777D09">
            <wp:extent cx="5400040" cy="1962150"/>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1962150"/>
                    </a:xfrm>
                    <a:prstGeom prst="rect">
                      <a:avLst/>
                    </a:prstGeom>
                    <a:noFill/>
                    <a:ln>
                      <a:noFill/>
                    </a:ln>
                  </pic:spPr>
                </pic:pic>
              </a:graphicData>
            </a:graphic>
          </wp:inline>
        </w:drawing>
      </w:r>
    </w:p>
    <w:p w14:paraId="2F896618" w14:textId="336CF388" w:rsidR="001820AA" w:rsidRDefault="001820AA" w:rsidP="001820AA">
      <w:r>
        <w:t xml:space="preserve">Fundo de crédito privado </w:t>
      </w:r>
    </w:p>
    <w:p w14:paraId="3AAA687D" w14:textId="75C76E16" w:rsidR="001820AA" w:rsidRDefault="001820AA" w:rsidP="001820AA">
      <w:r>
        <w:t>Um fundo de Renda Fixa que aloque mais da metade de seu PL em ativos de emissão privada está expondo o fundo a um risco de crédito maior e, por essa razão, deve constar em sua nomenclatura “Fundo de Renda Fixa crédito privado”.</w:t>
      </w:r>
    </w:p>
    <w:p w14:paraId="1BDF7652" w14:textId="7ED73F58" w:rsidR="001820AA" w:rsidRDefault="001820AA" w:rsidP="001820AA">
      <w:r>
        <w:t>O Fundo de Investimento que investe em ativos de crédito privado (lembra que todo ativo de Renda Fixa é um título de crédito, certo?), com percentual maior do que 50% de seu PL, deverá seguir as seguintes regras:</w:t>
      </w:r>
    </w:p>
    <w:p w14:paraId="12F966F6" w14:textId="22A60ED4" w:rsidR="001820AA" w:rsidRDefault="001820AA" w:rsidP="001820AA">
      <w:r>
        <w:rPr>
          <w:rFonts w:ascii="Segoe UI Symbol" w:hAnsi="Segoe UI Symbol" w:cs="Segoe UI Symbol"/>
        </w:rPr>
        <w:t>⯀</w:t>
      </w:r>
      <w:r>
        <w:t xml:space="preserve"> Na denominação do fundo, deverá constar a expressão “crédito privado”; </w:t>
      </w:r>
    </w:p>
    <w:p w14:paraId="7643666F" w14:textId="5793983B" w:rsidR="001820AA" w:rsidRDefault="001820AA" w:rsidP="001820AA">
      <w:r>
        <w:rPr>
          <w:rFonts w:ascii="Segoe UI Symbol" w:hAnsi="Segoe UI Symbol" w:cs="Segoe UI Symbol"/>
        </w:rPr>
        <w:t>⯀</w:t>
      </w:r>
      <w:r>
        <w:t xml:space="preserve"> O regulamento, o formulário de informações complementares e o material de venda do fundo deverão conter, com destaque, alerta de que o fundo está sujeito a risco de perda substancial de seu patrimônio líquido em caso de eventos que acarretem o não pagamento dos ativos integrantes de sua carteira, inclusive por força de intervenção, liquidação, regime de administração temporária, falência e recuperação judicial ou extrajudicial dos emissores responsáveis pelos ativos do fundo</w:t>
      </w:r>
    </w:p>
    <w:p w14:paraId="12BD9E3F" w14:textId="77777777" w:rsidR="001820AA" w:rsidRDefault="001820AA" w:rsidP="001820AA">
      <w:r>
        <w:t xml:space="preserve">Fundo Cambial </w:t>
      </w:r>
    </w:p>
    <w:p w14:paraId="54B6C46B" w14:textId="77777777" w:rsidR="001820AA" w:rsidRDefault="001820AA" w:rsidP="001820AA">
      <w:r>
        <w:t>Como o próprio nome sugere, é um fundo que usa moedas estrangeiras como parâmetro de rentabilidade.</w:t>
      </w:r>
    </w:p>
    <w:p w14:paraId="4C86982F" w14:textId="5443F8A2" w:rsidR="001820AA" w:rsidRDefault="001820AA" w:rsidP="001820AA">
      <w:r>
        <w:lastRenderedPageBreak/>
        <w:t xml:space="preserve">Um Fundo Cambial investe no mínimo 80% de seu PL em ativos que busquem acompanhar a variação de preços de moedas estrangeiras. </w:t>
      </w:r>
    </w:p>
    <w:p w14:paraId="430FB8B2" w14:textId="4EA63997" w:rsidR="001820AA" w:rsidRDefault="001820AA" w:rsidP="001820AA">
      <w:r>
        <w:t xml:space="preserve">Fundo Multimercado </w:t>
      </w:r>
    </w:p>
    <w:p w14:paraId="5EFCDEA4" w14:textId="59FC2E6B" w:rsidR="001820AA" w:rsidRDefault="001820AA" w:rsidP="001820AA">
      <w:r>
        <w:t>Se nos atentarmos ao nome desse tipo de fundo, assim como fizemos nos anteriores, podemos concluir que o nome da classe do fundo nos diz muito sobre que mercados o fundo pode explorar. No caso dos Fundos Multimercados, não há restrição quanto a qual mercado, tampouco sobre o mínimo de PL que deve ser alocado em cada ativo. Em outras palavras, o fundo multimercado, por definição, pode investir livremente em múltiplos mercados.</w:t>
      </w:r>
    </w:p>
    <w:p w14:paraId="6C7BFFBB" w14:textId="3A8DB389" w:rsidR="001820AA" w:rsidRDefault="001820AA" w:rsidP="001820AA">
      <w:r>
        <w:t>O percentual mínimo que o fundo vai explorar de cada mercado estará descrito apenas no regulamento do fundo</w:t>
      </w:r>
    </w:p>
    <w:p w14:paraId="0684979C" w14:textId="692D617D" w:rsidR="001820AA" w:rsidRDefault="001820AA" w:rsidP="001820AA">
      <w:r>
        <w:t xml:space="preserve">Fundo de Ações </w:t>
      </w:r>
    </w:p>
    <w:p w14:paraId="7A097583" w14:textId="0D01E6A2" w:rsidR="001820AA" w:rsidRDefault="001820AA" w:rsidP="001820AA">
      <w:r>
        <w:t>Outro nome praticamente autoexplicativo. Um Fundo de Ações investe no mínimo 67% do seu patrimônio líquido em ações negociadas no mercado à vista de Bolsa de Valores.</w:t>
      </w:r>
    </w:p>
    <w:p w14:paraId="646666C0" w14:textId="1CF98FBF" w:rsidR="001820AA" w:rsidRDefault="001820AA" w:rsidP="001820AA">
      <w:r>
        <w:t>A performance destes fundos está sujeita à variação de preço das ações que compõem sua carteira. Por isso, são mais indicados para quem tem objetivos de investimento a longo prazo.</w:t>
      </w:r>
    </w:p>
    <w:p w14:paraId="297C7F24" w14:textId="2D0C6363" w:rsidR="001820AA" w:rsidRDefault="001820AA" w:rsidP="001820AA">
      <w:r>
        <w:t>A tabela a seguir resume a classificação CVM com os respectivos critérios para os fundos se enquadrarem em sua categoria:</w:t>
      </w:r>
    </w:p>
    <w:p w14:paraId="4F4D8E01" w14:textId="12A431C1" w:rsidR="001820AA" w:rsidRDefault="001820AA" w:rsidP="001820AA">
      <w:r>
        <w:rPr>
          <w:noProof/>
        </w:rPr>
        <w:drawing>
          <wp:inline distT="0" distB="0" distL="0" distR="0" wp14:anchorId="024CC104" wp14:editId="5846EDA6">
            <wp:extent cx="5400040" cy="2162175"/>
            <wp:effectExtent l="0" t="0" r="0" b="952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040" cy="2162175"/>
                    </a:xfrm>
                    <a:prstGeom prst="rect">
                      <a:avLst/>
                    </a:prstGeom>
                    <a:noFill/>
                    <a:ln>
                      <a:noFill/>
                    </a:ln>
                  </pic:spPr>
                </pic:pic>
              </a:graphicData>
            </a:graphic>
          </wp:inline>
        </w:drawing>
      </w:r>
    </w:p>
    <w:p w14:paraId="40156266" w14:textId="5A9C093F" w:rsidR="001820AA" w:rsidRDefault="001820AA" w:rsidP="001820AA">
      <w:r w:rsidRPr="001820AA">
        <w:t>Se entendemos a classificação CVM, ficará mais fácil compreendermos a classificação ANBIMA para fundos de investimentos. Veremos esse tema a seguir.</w:t>
      </w:r>
    </w:p>
    <w:p w14:paraId="2F1BA648" w14:textId="7EC41C55" w:rsidR="001820AA" w:rsidRDefault="001820AA" w:rsidP="001820AA">
      <w:r>
        <w:rPr>
          <w:noProof/>
        </w:rPr>
        <w:lastRenderedPageBreak/>
        <w:drawing>
          <wp:inline distT="0" distB="0" distL="0" distR="0" wp14:anchorId="77C58887" wp14:editId="0FCCE78C">
            <wp:extent cx="5400040" cy="2390775"/>
            <wp:effectExtent l="0" t="0" r="0"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0040" cy="2390775"/>
                    </a:xfrm>
                    <a:prstGeom prst="rect">
                      <a:avLst/>
                    </a:prstGeom>
                    <a:noFill/>
                    <a:ln>
                      <a:noFill/>
                    </a:ln>
                  </pic:spPr>
                </pic:pic>
              </a:graphicData>
            </a:graphic>
          </wp:inline>
        </w:drawing>
      </w:r>
    </w:p>
    <w:p w14:paraId="447FDDEB" w14:textId="0069B8A0" w:rsidR="001820AA" w:rsidRDefault="0049415D" w:rsidP="001820AA">
      <w:r w:rsidRPr="0049415D">
        <w:t>Fundo de Ações x Clube de Ações - Vantagens e Desvantagens</w:t>
      </w:r>
    </w:p>
    <w:p w14:paraId="1271E5EE" w14:textId="3A4B9C6A" w:rsidR="0049415D" w:rsidRDefault="0049415D" w:rsidP="0049415D">
      <w:r>
        <w:t>FUNDOS DE AÇÕES</w:t>
      </w:r>
    </w:p>
    <w:p w14:paraId="182AC68D" w14:textId="01BC619B" w:rsidR="0049415D" w:rsidRDefault="0049415D" w:rsidP="0049415D">
      <w:r>
        <w:t xml:space="preserve">Um fundo de ações é uma carteira de ativos de renda variável. </w:t>
      </w:r>
    </w:p>
    <w:p w14:paraId="427C6C68" w14:textId="32F93BA5" w:rsidR="0049415D" w:rsidRDefault="0049415D" w:rsidP="0049415D">
      <w:r>
        <w:t xml:space="preserve">É necessário conter no mínimo 67% do patrimônio alocado em ativos negociados na Bolsa de Valores ou em outros locais semelhantes. </w:t>
      </w:r>
    </w:p>
    <w:p w14:paraId="5287AB9A" w14:textId="1E71F599" w:rsidR="0049415D" w:rsidRDefault="0049415D" w:rsidP="0049415D">
      <w:r>
        <w:t>Vantagem: Investir em um fundo de ações possibilita diversificar a carteira de investimentos mesmo com pouco dinheiro e ter acesso a estratégias sofisticadas;</w:t>
      </w:r>
    </w:p>
    <w:p w14:paraId="5940F4A3" w14:textId="14E7B218" w:rsidR="0049415D" w:rsidRDefault="0049415D" w:rsidP="0049415D">
      <w:r>
        <w:t>Desvantagem: Não pode interferir na decisão do gestor, bem como possuem taxas que devem ser levadas em consideração, como taxas de administração e performance.</w:t>
      </w:r>
    </w:p>
    <w:p w14:paraId="1452C93E" w14:textId="17A80F73" w:rsidR="0049415D" w:rsidRDefault="0049415D" w:rsidP="0049415D">
      <w:r>
        <w:t>CLUBE DE AÇÕES</w:t>
      </w:r>
    </w:p>
    <w:p w14:paraId="435903AF" w14:textId="25656241" w:rsidR="0049415D" w:rsidRDefault="0049415D" w:rsidP="0049415D">
      <w:r>
        <w:t>A carteira do Clube de Ações também deve possuir, no mínimo, 67% de ativos negociados na Bolsa de Valores.</w:t>
      </w:r>
    </w:p>
    <w:p w14:paraId="1BC1E498" w14:textId="3D772949" w:rsidR="0049415D" w:rsidRDefault="0049415D" w:rsidP="0049415D">
      <w:r>
        <w:t>São alternativas para pequenos investidores, que podem trocar conhecimento sobre o mercado de capitais, já que o número máximo de participantes é 50 pessoas.</w:t>
      </w:r>
    </w:p>
    <w:p w14:paraId="49E47B3F" w14:textId="1F77AEE9" w:rsidR="0049415D" w:rsidRDefault="0049415D" w:rsidP="0049415D">
      <w:r>
        <w:t>Vantagem: os próprios participantes discutem as estratégias e buscam investimentos que rendam lucros para todo o grupo.</w:t>
      </w:r>
    </w:p>
    <w:p w14:paraId="72DC8B38" w14:textId="4D7DEEDF" w:rsidR="0049415D" w:rsidRDefault="0049415D" w:rsidP="0049415D">
      <w:r>
        <w:t>Desvantagem: Os investidores precisam conhecer bem o mercado e onde alocar os seus recursos.</w:t>
      </w:r>
    </w:p>
    <w:p w14:paraId="7341ACC3" w14:textId="54D6224F" w:rsidR="0049415D" w:rsidRDefault="0049415D" w:rsidP="0049415D">
      <w:r>
        <w:rPr>
          <w:noProof/>
        </w:rPr>
        <w:lastRenderedPageBreak/>
        <w:drawing>
          <wp:inline distT="0" distB="0" distL="0" distR="0" wp14:anchorId="49C0443D" wp14:editId="1B9C124B">
            <wp:extent cx="5400040" cy="234315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040" cy="2343150"/>
                    </a:xfrm>
                    <a:prstGeom prst="rect">
                      <a:avLst/>
                    </a:prstGeom>
                    <a:noFill/>
                    <a:ln>
                      <a:noFill/>
                    </a:ln>
                  </pic:spPr>
                </pic:pic>
              </a:graphicData>
            </a:graphic>
          </wp:inline>
        </w:drawing>
      </w:r>
    </w:p>
    <w:p w14:paraId="35EF1DB9" w14:textId="5EED1DD4" w:rsidR="0049415D" w:rsidRDefault="0049415D" w:rsidP="0049415D">
      <w:r w:rsidRPr="0049415D">
        <w:t>Ativos Elegiveis para a Composição do Patrimônio de Cada Classe de Fundo</w:t>
      </w:r>
    </w:p>
    <w:p w14:paraId="3547E377" w14:textId="44D05966" w:rsidR="0049415D" w:rsidRDefault="0049415D" w:rsidP="0049415D">
      <w:r>
        <w:t>TÍTULOS DE RENDA FIXA CURTO E LONGO PRAZO:</w:t>
      </w:r>
    </w:p>
    <w:p w14:paraId="499E43CD" w14:textId="08026624" w:rsidR="0049415D" w:rsidRDefault="0049415D" w:rsidP="0049415D">
      <w:r>
        <w:t>Os Fundos de Renda Fixa alocam a maior parte (no mínimo 80%) de seus recursos em ativos de renda fixa. São fundos de natureza conservadora e buscam acompanhar a variação dos indicadores de renda fixa. O que veremos a seguir é que mesmo no segmento de renda fixa, existem subdivisões que separam os fundos de acordo com a especificidade de renda fixa que o fundo explora. Em outras palavras, temos sub-categorias que são:</w:t>
      </w:r>
    </w:p>
    <w:p w14:paraId="5F151C83" w14:textId="716A6ED7" w:rsidR="0049415D" w:rsidRDefault="0049415D" w:rsidP="0049415D">
      <w:r>
        <w:rPr>
          <w:noProof/>
        </w:rPr>
        <w:drawing>
          <wp:inline distT="0" distB="0" distL="0" distR="0" wp14:anchorId="54F5F93B" wp14:editId="0B10D147">
            <wp:extent cx="5400040" cy="230505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2305050"/>
                    </a:xfrm>
                    <a:prstGeom prst="rect">
                      <a:avLst/>
                    </a:prstGeom>
                    <a:noFill/>
                    <a:ln>
                      <a:noFill/>
                    </a:ln>
                  </pic:spPr>
                </pic:pic>
              </a:graphicData>
            </a:graphic>
          </wp:inline>
        </w:drawing>
      </w:r>
    </w:p>
    <w:p w14:paraId="0C27B1C7" w14:textId="5FDA2F54" w:rsidR="0049415D" w:rsidRDefault="0049415D" w:rsidP="0049415D">
      <w:r>
        <w:t>TÍTULO DE RENDA FIXA DE CRÉDITO PRIVADO E DÍVIDA EXTERNA:</w:t>
      </w:r>
    </w:p>
    <w:p w14:paraId="333FA993" w14:textId="12EBC5B9" w:rsidR="0049415D" w:rsidRDefault="0049415D" w:rsidP="0049415D">
      <w:r>
        <w:t>Um fundo de renda fixa que aloque mais da metade de seu PL em ativos de emissão privada está expondo o fundo a um risco de crédito maior e, por essa razão, deve constar em sua nomenclatura “Fundo de renda fixa crédito privado”</w:t>
      </w:r>
    </w:p>
    <w:p w14:paraId="740E968D" w14:textId="7A0D0087" w:rsidR="0049415D" w:rsidRDefault="0049415D" w:rsidP="0049415D">
      <w:r>
        <w:t>O Fundo de investimento que investe em ativos de crédito privado (lembra que todo ativo de renda fixa é um título de crédito, certo?), com percentual maior do que 50% de seu PL, deverá seguir as seguintes regras:</w:t>
      </w:r>
    </w:p>
    <w:p w14:paraId="53479325" w14:textId="7BA5639F" w:rsidR="0049415D" w:rsidRDefault="0049415D" w:rsidP="0049415D">
      <w:r>
        <w:rPr>
          <w:rFonts w:ascii="Segoe UI Symbol" w:hAnsi="Segoe UI Symbol" w:cs="Segoe UI Symbol"/>
        </w:rPr>
        <w:t>⯀</w:t>
      </w:r>
      <w:r>
        <w:t xml:space="preserve"> Na denominação do fundo, deverá constar a expressão “Crédito Privado”;</w:t>
      </w:r>
    </w:p>
    <w:p w14:paraId="0BA53D1A" w14:textId="0E3C7903" w:rsidR="0049415D" w:rsidRDefault="0049415D" w:rsidP="0049415D">
      <w:r>
        <w:rPr>
          <w:rFonts w:ascii="Segoe UI Symbol" w:hAnsi="Segoe UI Symbol" w:cs="Segoe UI Symbol"/>
        </w:rPr>
        <w:t>⯀</w:t>
      </w:r>
      <w:r>
        <w:t xml:space="preserve"> O regulamento, o formulário de informações complementares e o material de venda do fundo deverão conter, com destaque, alerta de que o fundo está sujeito a risco de perda </w:t>
      </w:r>
      <w:r>
        <w:lastRenderedPageBreak/>
        <w:t>substancial de seu patrimônio líquido em caso de eventos que acarretem o não pagamento dos ativos integrantes de sua carteira, inclusive por força de intervenção, liquidação, regime de administração temporária, falência, recuperação judicial ou extrajudicial dos emissores responsáveis pelos ativos do fundo.</w:t>
      </w:r>
    </w:p>
    <w:p w14:paraId="1B2B2F5C" w14:textId="5056A61F" w:rsidR="0049415D" w:rsidRDefault="0049415D" w:rsidP="0049415D">
      <w:r>
        <w:t>Nos títulos de Dívida Externa, o Fundo aplica no mínimo 80% de seu PL em dívida externa do país:</w:t>
      </w:r>
    </w:p>
    <w:p w14:paraId="272FCFBA" w14:textId="0CEEF40C" w:rsidR="0049415D" w:rsidRDefault="0049415D" w:rsidP="0049415D">
      <w:r>
        <w:rPr>
          <w:noProof/>
        </w:rPr>
        <w:drawing>
          <wp:inline distT="0" distB="0" distL="0" distR="0" wp14:anchorId="579A4D94" wp14:editId="459035A0">
            <wp:extent cx="5391150" cy="1857375"/>
            <wp:effectExtent l="0" t="0" r="0" b="952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1150" cy="1857375"/>
                    </a:xfrm>
                    <a:prstGeom prst="rect">
                      <a:avLst/>
                    </a:prstGeom>
                    <a:noFill/>
                    <a:ln>
                      <a:noFill/>
                    </a:ln>
                  </pic:spPr>
                </pic:pic>
              </a:graphicData>
            </a:graphic>
          </wp:inline>
        </w:drawing>
      </w:r>
    </w:p>
    <w:p w14:paraId="38AB5F44" w14:textId="68807DFF" w:rsidR="0049415D" w:rsidRDefault="0049415D" w:rsidP="0049415D">
      <w:r>
        <w:t>TÍTULOS DE RENDA FIXA DE MERCADO DE ACESSO E BDR - NÍVEL 1:</w:t>
      </w:r>
    </w:p>
    <w:p w14:paraId="5E86F68D" w14:textId="246E9E58" w:rsidR="0049415D" w:rsidRDefault="0049415D" w:rsidP="0049415D">
      <w:r>
        <w:t>O fundo de ações investe no mínimo 67% do seu Patrimônio Líquido em ações negociadas no mercado à vista de bolsa de valores. A performance destes fundos está sujeita à variação de preço das ações que compõem sua carteira. Por isso, são mais indicados para quem tem objetivos de investimento de longo prazo.</w:t>
      </w:r>
    </w:p>
    <w:p w14:paraId="46152855" w14:textId="42BD4F5D" w:rsidR="0049415D" w:rsidRDefault="0049415D" w:rsidP="0049415D">
      <w:r>
        <w:t>A tabela a seguir resume a classificação CVM com os respectivos critérios para os fundos se enquadrarem em sua categoria:</w:t>
      </w:r>
    </w:p>
    <w:p w14:paraId="739A81DE" w14:textId="48CBFC39" w:rsidR="0049415D" w:rsidRDefault="0049415D" w:rsidP="0049415D">
      <w:r>
        <w:rPr>
          <w:noProof/>
        </w:rPr>
        <w:drawing>
          <wp:inline distT="0" distB="0" distL="0" distR="0" wp14:anchorId="33481DD6" wp14:editId="70CF2846">
            <wp:extent cx="5400040" cy="238125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00040" cy="2381250"/>
                    </a:xfrm>
                    <a:prstGeom prst="rect">
                      <a:avLst/>
                    </a:prstGeom>
                    <a:noFill/>
                    <a:ln>
                      <a:noFill/>
                    </a:ln>
                  </pic:spPr>
                </pic:pic>
              </a:graphicData>
            </a:graphic>
          </wp:inline>
        </w:drawing>
      </w:r>
    </w:p>
    <w:p w14:paraId="66FAD635" w14:textId="77777777" w:rsidR="0049415D" w:rsidRDefault="0049415D" w:rsidP="0049415D"/>
    <w:p w14:paraId="41677913" w14:textId="77777777" w:rsidR="0049415D" w:rsidRDefault="0049415D" w:rsidP="0049415D"/>
    <w:p w14:paraId="491E3E3B" w14:textId="77777777" w:rsidR="0049415D" w:rsidRDefault="0049415D" w:rsidP="0049415D"/>
    <w:p w14:paraId="293644EE" w14:textId="77777777" w:rsidR="0049415D" w:rsidRDefault="0049415D" w:rsidP="0049415D"/>
    <w:p w14:paraId="55598814" w14:textId="77777777" w:rsidR="0049415D" w:rsidRDefault="0049415D" w:rsidP="0049415D"/>
    <w:p w14:paraId="539AE579" w14:textId="66C63F9B" w:rsidR="0049415D" w:rsidRDefault="0049415D" w:rsidP="0049415D">
      <w:r>
        <w:lastRenderedPageBreak/>
        <w:t>FUNDO CAMBIAL:</w:t>
      </w:r>
    </w:p>
    <w:p w14:paraId="5497E2AF" w14:textId="5E82FD11" w:rsidR="0049415D" w:rsidRDefault="0049415D" w:rsidP="0049415D">
      <w:r>
        <w:t>O Fundo Cambial é um fundo que usa moedas estrangeiras como parâmetro de rentabilidade. Um Fundo Cambial investe no mínimo 80% de seu PL em ativos que busquem acompanhar a variação de preços de moedas estrangeiras:</w:t>
      </w:r>
    </w:p>
    <w:p w14:paraId="62335442" w14:textId="7FBA8DAA" w:rsidR="0049415D" w:rsidRDefault="0049415D" w:rsidP="0049415D">
      <w:r>
        <w:rPr>
          <w:noProof/>
        </w:rPr>
        <w:drawing>
          <wp:inline distT="0" distB="0" distL="0" distR="0" wp14:anchorId="0F1281E7" wp14:editId="4CE3E535">
            <wp:extent cx="5400040" cy="169545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1695450"/>
                    </a:xfrm>
                    <a:prstGeom prst="rect">
                      <a:avLst/>
                    </a:prstGeom>
                    <a:noFill/>
                    <a:ln>
                      <a:noFill/>
                    </a:ln>
                  </pic:spPr>
                </pic:pic>
              </a:graphicData>
            </a:graphic>
          </wp:inline>
        </w:drawing>
      </w:r>
    </w:p>
    <w:p w14:paraId="7E934D07" w14:textId="191C271B" w:rsidR="0049415D" w:rsidRDefault="0049415D" w:rsidP="0049415D">
      <w:r>
        <w:t>FUNDO MULTIMERCADO:</w:t>
      </w:r>
    </w:p>
    <w:p w14:paraId="32D9BF66" w14:textId="6814F12D" w:rsidR="0049415D" w:rsidRDefault="0049415D" w:rsidP="0049415D">
      <w:r>
        <w:t>No caso dos fundos multimercados, não há restrição quanto a qual mercado a ser explorado, tampouco sobre o mínimo de PL que deve ser alocado em cada ativo. Em outras palavras, o fundo multimercado, por definição pode investir livremente em múltiplos mercados. O percentual mínimo que o fundo vai explorar de cada mercado estará descrito no regulamento do fundo apenas. Os fundos Multimercados podem ser de Longo Prazo ou de Crédito Privado:</w:t>
      </w:r>
    </w:p>
    <w:p w14:paraId="0675384C" w14:textId="42F86E1C" w:rsidR="0049415D" w:rsidRDefault="0049415D" w:rsidP="0049415D">
      <w:r>
        <w:rPr>
          <w:noProof/>
        </w:rPr>
        <w:drawing>
          <wp:inline distT="0" distB="0" distL="0" distR="0" wp14:anchorId="1B9D07A3" wp14:editId="59E913E2">
            <wp:extent cx="5400040" cy="1990725"/>
            <wp:effectExtent l="0" t="0" r="0" b="952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1990725"/>
                    </a:xfrm>
                    <a:prstGeom prst="rect">
                      <a:avLst/>
                    </a:prstGeom>
                    <a:noFill/>
                    <a:ln>
                      <a:noFill/>
                    </a:ln>
                  </pic:spPr>
                </pic:pic>
              </a:graphicData>
            </a:graphic>
          </wp:inline>
        </w:drawing>
      </w:r>
    </w:p>
    <w:p w14:paraId="4FA50515" w14:textId="289C3D70" w:rsidR="0049415D" w:rsidRDefault="0049415D" w:rsidP="0049415D">
      <w:r w:rsidRPr="0049415D">
        <w:t>Os fundos vistos anteriormente podem investir no exterior, mas são destinados exclusivamente a investidores qualificados ou profissionais.</w:t>
      </w:r>
    </w:p>
    <w:p w14:paraId="0CEDABFC" w14:textId="4559D824" w:rsidR="0049415D" w:rsidRDefault="0049415D" w:rsidP="0049415D">
      <w:r>
        <w:rPr>
          <w:noProof/>
        </w:rPr>
        <w:drawing>
          <wp:inline distT="0" distB="0" distL="0" distR="0" wp14:anchorId="40AB899E" wp14:editId="29CB8E6B">
            <wp:extent cx="5400040" cy="17335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0040" cy="1733550"/>
                    </a:xfrm>
                    <a:prstGeom prst="rect">
                      <a:avLst/>
                    </a:prstGeom>
                    <a:noFill/>
                    <a:ln>
                      <a:noFill/>
                    </a:ln>
                  </pic:spPr>
                </pic:pic>
              </a:graphicData>
            </a:graphic>
          </wp:inline>
        </w:drawing>
      </w:r>
    </w:p>
    <w:p w14:paraId="22C5A3E3" w14:textId="5D4BE4C2" w:rsidR="0049415D" w:rsidRDefault="0049415D" w:rsidP="0049415D">
      <w:r>
        <w:rPr>
          <w:noProof/>
        </w:rPr>
        <w:lastRenderedPageBreak/>
        <w:drawing>
          <wp:inline distT="0" distB="0" distL="0" distR="0" wp14:anchorId="4EB3CAAF" wp14:editId="4385151A">
            <wp:extent cx="5400040" cy="2390775"/>
            <wp:effectExtent l="0" t="0" r="0"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2390775"/>
                    </a:xfrm>
                    <a:prstGeom prst="rect">
                      <a:avLst/>
                    </a:prstGeom>
                    <a:noFill/>
                    <a:ln>
                      <a:noFill/>
                    </a:ln>
                  </pic:spPr>
                </pic:pic>
              </a:graphicData>
            </a:graphic>
          </wp:inline>
        </w:drawing>
      </w:r>
    </w:p>
    <w:p w14:paraId="4393DE36" w14:textId="0E395CFA" w:rsidR="0049415D" w:rsidRDefault="00C75596" w:rsidP="0049415D">
      <w:r w:rsidRPr="00C75596">
        <w:t>Fatores de Risco Inerente a Cada Classe de Fundo</w:t>
      </w:r>
    </w:p>
    <w:p w14:paraId="0435AE17" w14:textId="2018455B" w:rsidR="00C75596" w:rsidRDefault="00C75596" w:rsidP="00C75596">
      <w:r>
        <w:t>OS PRINCIPAIS RISCOS DOS FUNDOS SÃO:</w:t>
      </w:r>
    </w:p>
    <w:p w14:paraId="16C7D031" w14:textId="5E296E34" w:rsidR="00C75596" w:rsidRDefault="00C75596" w:rsidP="00C75596">
      <w:r>
        <w:t>RISCO DE CRÉDITO: é o risco de que uma das contrapartes não honre com os pagamentos nas datas acordadas. Os bancos estabelecem limites pré-definidos por contraparte de acordo com as características do contrato e da própria contraparte. Algumas vezes, são solicitadas margens antecipadas ou eventuais (Ex: se durante a vida do contrato a “exposição” ultrapassar um limite previamente estabelecido).</w:t>
      </w:r>
    </w:p>
    <w:p w14:paraId="04E66847" w14:textId="767598EE" w:rsidR="00C75596" w:rsidRDefault="00C75596" w:rsidP="00C75596">
      <w:r>
        <w:t>Nesse caso, o risco está sobre os ativos investidos pelo Fundo, e não sobre o administrador.</w:t>
      </w:r>
    </w:p>
    <w:p w14:paraId="72B30830" w14:textId="1878CCB6" w:rsidR="00C75596" w:rsidRDefault="00C75596" w:rsidP="00C75596">
      <w:r>
        <w:t>O Fundos só pode investir 20% de seus papéis em uma mesma Instituição.</w:t>
      </w:r>
    </w:p>
    <w:p w14:paraId="220CD36B" w14:textId="6D522B78" w:rsidR="00C75596" w:rsidRDefault="00C75596" w:rsidP="00C75596">
      <w:r>
        <w:t>RISCO DE LIQUIDEZ: é o risco de ocorrência de perdas para o investidor por conta da negociação de um ativo por um preço distante do seu preço justo, ou seja, nada mais é do que a dificuldade de transformar o ativo em dinheiro.</w:t>
      </w:r>
    </w:p>
    <w:p w14:paraId="59597E5B" w14:textId="045A9422" w:rsidR="00C75596" w:rsidRDefault="00C75596" w:rsidP="00C75596">
      <w:r>
        <w:t>RISCO DE MERCADO: risco de se verificar perdas causadas pelos movimentos dos preços dos ativos no mercado, ou seja, está relacionado com a valorização ou desvalorização de um ativo.</w:t>
      </w:r>
    </w:p>
    <w:p w14:paraId="49B08B82" w14:textId="21F18171" w:rsidR="00C75596" w:rsidRDefault="00C75596" w:rsidP="00C75596">
      <w:r>
        <w:t>Cabe mencionar que, dependendo da composição dos ativos da carteira do fundo, os tipos de riscos podem variar, mas todos eles são avaliados por fatores microeconômicos e macroeconômicos, e influenciam na variação do preço da cota do ativo.</w:t>
      </w:r>
    </w:p>
    <w:p w14:paraId="48FFA285" w14:textId="3ABEFF15" w:rsidR="00C75596" w:rsidRDefault="00C75596" w:rsidP="00C75596">
      <w:r>
        <w:rPr>
          <w:noProof/>
        </w:rPr>
        <w:lastRenderedPageBreak/>
        <w:drawing>
          <wp:inline distT="0" distB="0" distL="0" distR="0" wp14:anchorId="1FA47AB2" wp14:editId="56406C59">
            <wp:extent cx="5391150" cy="2543175"/>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1150" cy="2543175"/>
                    </a:xfrm>
                    <a:prstGeom prst="rect">
                      <a:avLst/>
                    </a:prstGeom>
                    <a:noFill/>
                    <a:ln>
                      <a:noFill/>
                    </a:ln>
                  </pic:spPr>
                </pic:pic>
              </a:graphicData>
            </a:graphic>
          </wp:inline>
        </w:drawing>
      </w:r>
    </w:p>
    <w:p w14:paraId="4C4CAC6F" w14:textId="77777777" w:rsidR="00D332C7" w:rsidRDefault="00D332C7" w:rsidP="00C75596"/>
    <w:p w14:paraId="2FDA948D" w14:textId="1D9DAA41" w:rsidR="009F587A" w:rsidRDefault="009F587A" w:rsidP="009F587A">
      <w:r>
        <w:t>Outros Fundos</w:t>
      </w:r>
    </w:p>
    <w:p w14:paraId="5FF315D4" w14:textId="1E8634A0" w:rsidR="009F587A" w:rsidRDefault="009F587A" w:rsidP="009F587A">
      <w:r>
        <w:t xml:space="preserve"> Fundos de Investimento Imobiliário (FII)</w:t>
      </w:r>
    </w:p>
    <w:p w14:paraId="11EB7DF5" w14:textId="620CC248" w:rsidR="009F587A" w:rsidRDefault="009F587A" w:rsidP="009F587A">
      <w:r>
        <w:t>Já pensou em passar em frente de um shopping e pensar “eu sou um dos donos desse imóvel”? Pois isso é possível através de um fundo imobiliário. E de forma muito mais fácil, acessível e menos burocrática do que comprar um imóvel diretamente.</w:t>
      </w:r>
    </w:p>
    <w:p w14:paraId="02A39FDC" w14:textId="6614A639" w:rsidR="009F587A" w:rsidRDefault="009F587A" w:rsidP="009F587A">
      <w:r>
        <w:t>O FII, como é conhecido esse tipo de fundo, é uma comunhão de recursos de vários investidores para aplicação no mercado imobiliário. Essa união permite que o investidor consiga entrar num fundo até mesmo com poucos recursos, pois ele vai investir o valor proporcional que tem através da compra de cotas.</w:t>
      </w:r>
    </w:p>
    <w:p w14:paraId="408BA0C4" w14:textId="691502AD" w:rsidR="009F587A" w:rsidRDefault="009F587A" w:rsidP="009F587A">
      <w:r>
        <w:t>Os recursos captados pelo fundo são utilizados para comprar participações em shoppings, lajes corporativas, prédios comerciais, centros logísticos e outros papéis do mercado financeiro, sempre atrelados ao mercado imobiliário.</w:t>
      </w:r>
    </w:p>
    <w:p w14:paraId="6014B2BF" w14:textId="4915EC3F" w:rsidR="009F587A" w:rsidRDefault="009F587A" w:rsidP="009F587A">
      <w:r>
        <w:t>E não é preciso ser especialista em imóveis para fazer um bom negócio. O administrador do fundo e sua equipe de gestão de imóveis são pessoas que têm conhecimento no setor e farão tudo de forma profissional.</w:t>
      </w:r>
    </w:p>
    <w:p w14:paraId="26FCD749" w14:textId="4139D0D1" w:rsidR="009F587A" w:rsidRDefault="009F587A" w:rsidP="009F587A">
      <w:r>
        <w:t>Vou repetir pra você não pensar que estou mentindo: não tem burocracia no FII. Sendo cadastrado em uma corretora de valores, é possível comprar e vender um fundo através da Bolsa de Valores, sem aquelas várias certidões que você precisaria ter se comprasse um imóvel diretamente.</w:t>
      </w:r>
    </w:p>
    <w:p w14:paraId="2AAD2F96" w14:textId="56FD28E0" w:rsidR="009F587A" w:rsidRDefault="009F587A" w:rsidP="009F587A">
      <w:r>
        <w:t>Outra vantagem do fundo é que, se você investe em um imóvel diretamente e precisa de um pouco do dinheiro ali investido, muitas vezes vai precisar esperar meses ou anos para que a venda seja concretizada. Com o fundo imobiliário, se você precisa apenas de uma parte do valor investido, é só vender o número de cotas proporcional àquele valor e de forma muito mais rápida.</w:t>
      </w:r>
    </w:p>
    <w:p w14:paraId="237020ED" w14:textId="65BE778C" w:rsidR="009F587A" w:rsidRDefault="009F587A" w:rsidP="009F587A">
      <w:r>
        <w:t xml:space="preserve">Algumas regrinhas dos FII: </w:t>
      </w:r>
    </w:p>
    <w:p w14:paraId="1F1DCCB4" w14:textId="75CA1CC4" w:rsidR="009F587A" w:rsidRDefault="009F587A" w:rsidP="009F587A">
      <w:r>
        <w:rPr>
          <w:rFonts w:ascii="Segoe UI Symbol" w:hAnsi="Segoe UI Symbol" w:cs="Segoe UI Symbol"/>
        </w:rPr>
        <w:t>⯀</w:t>
      </w:r>
      <w:r>
        <w:t xml:space="preserve"> são fundos fechados que podem ter duração determinada ou indeterminada; </w:t>
      </w:r>
    </w:p>
    <w:p w14:paraId="031A2508" w14:textId="4987B225" w:rsidR="009F587A" w:rsidRDefault="009F587A" w:rsidP="009F587A">
      <w:r>
        <w:rPr>
          <w:rFonts w:ascii="Segoe UI Symbol" w:hAnsi="Segoe UI Symbol" w:cs="Segoe UI Symbol"/>
        </w:rPr>
        <w:lastRenderedPageBreak/>
        <w:t>⯀</w:t>
      </w:r>
      <w:r>
        <w:t xml:space="preserve"> devem distribuir, no mínimo, 95% do lucro auferido, apurados segundo o regime de caixa;</w:t>
      </w:r>
    </w:p>
    <w:p w14:paraId="597161C3" w14:textId="7E09657F" w:rsidR="009F587A" w:rsidRDefault="009F587A" w:rsidP="009F587A">
      <w:r>
        <w:t xml:space="preserve"> </w:t>
      </w:r>
      <w:r>
        <w:rPr>
          <w:rFonts w:ascii="Segoe UI Symbol" w:hAnsi="Segoe UI Symbol" w:cs="Segoe UI Symbol"/>
        </w:rPr>
        <w:t>⯀</w:t>
      </w:r>
      <w:r>
        <w:t xml:space="preserve"> uma vez constituído e autorizado o funcionamento do fundo, admite-se que 25% de seu patrimônio, no máximo e temporariamente, seja investido em cotas de FII e/ou em Títulos de Renda Fixa; </w:t>
      </w:r>
    </w:p>
    <w:p w14:paraId="08FF3262" w14:textId="13ECC9E0" w:rsidR="009F587A" w:rsidRDefault="009F587A" w:rsidP="009F587A">
      <w:r>
        <w:rPr>
          <w:rFonts w:ascii="Segoe UI Symbol" w:hAnsi="Segoe UI Symbol" w:cs="Segoe UI Symbol"/>
        </w:rPr>
        <w:t>⯀</w:t>
      </w:r>
      <w:r>
        <w:t xml:space="preserve"> essa parcela pode ser maior se expressamente autorizada pela CVM, mediante justificativa do administrador do fundo; </w:t>
      </w:r>
    </w:p>
    <w:p w14:paraId="4A0B94CD" w14:textId="37DF7DE0" w:rsidR="009F587A" w:rsidRDefault="009F587A" w:rsidP="009F587A">
      <w:r>
        <w:rPr>
          <w:rFonts w:ascii="Segoe UI Symbol" w:hAnsi="Segoe UI Symbol" w:cs="Segoe UI Symbol"/>
        </w:rPr>
        <w:t>⯀</w:t>
      </w:r>
      <w:r>
        <w:t xml:space="preserve"> é vedado ao fundo operar em mercados futuros ou de opções</w:t>
      </w:r>
    </w:p>
    <w:p w14:paraId="0D054BF6" w14:textId="085B768C" w:rsidR="009F587A" w:rsidRDefault="009F587A" w:rsidP="009F587A">
      <w:r>
        <w:t xml:space="preserve">Tributação em FII </w:t>
      </w:r>
    </w:p>
    <w:p w14:paraId="700F4C60" w14:textId="001AFD9A" w:rsidR="009F587A" w:rsidRDefault="009F587A" w:rsidP="009F587A">
      <w:r>
        <w:t xml:space="preserve">Em caso de ganho de capital devido a valorização de cotas, temos a seguinte tributação: </w:t>
      </w:r>
    </w:p>
    <w:p w14:paraId="004C2E96" w14:textId="3F1768C4" w:rsidR="009F587A" w:rsidRDefault="009F587A" w:rsidP="009F587A">
      <w:r>
        <w:rPr>
          <w:rFonts w:ascii="Segoe UI Symbol" w:hAnsi="Segoe UI Symbol" w:cs="Segoe UI Symbol"/>
        </w:rPr>
        <w:t>⯀</w:t>
      </w:r>
      <w:r>
        <w:t xml:space="preserve"> alíquota: 20% para PF, PJ. As PJs isentas (ex.: igreja) não pagam este imposto; </w:t>
      </w:r>
    </w:p>
    <w:p w14:paraId="05A3D6DC" w14:textId="77777777" w:rsidR="009F587A" w:rsidRDefault="009F587A" w:rsidP="009F587A">
      <w:r>
        <w:rPr>
          <w:rFonts w:ascii="Segoe UI Symbol" w:hAnsi="Segoe UI Symbol" w:cs="Segoe UI Symbol"/>
        </w:rPr>
        <w:t>⯀</w:t>
      </w:r>
      <w:r>
        <w:t xml:space="preserve"> compensação de perdas: perdas incorridas na alienação de cotas de fundo de investimento imobiliário só podem ser compensadas com ganhos auferidos na alienação de cotas de fundo da mesma espécie; </w:t>
      </w:r>
    </w:p>
    <w:p w14:paraId="42DEF943" w14:textId="267F9A9E" w:rsidR="009F587A" w:rsidRDefault="009F587A" w:rsidP="009F587A">
      <w:r>
        <w:rPr>
          <w:rFonts w:ascii="Segoe UI Symbol" w:hAnsi="Segoe UI Symbol" w:cs="Segoe UI Symbol"/>
        </w:rPr>
        <w:t>⯀</w:t>
      </w:r>
      <w:r>
        <w:t xml:space="preserve"> responsável pelo recolhimento: o investidor.</w:t>
      </w:r>
    </w:p>
    <w:p w14:paraId="3D4B7515" w14:textId="381CACA1" w:rsidR="009F587A" w:rsidRDefault="009F587A" w:rsidP="009F587A">
      <w:r>
        <w:t xml:space="preserve"> Em caso de distribuição de renda proveniente de aluguel, há uma regra que garante isenção a investidor PF. Aquele aluguel (rendimento) que é dividido entre todos os cotistas mensalmente é isento de imposto de renda.</w:t>
      </w:r>
    </w:p>
    <w:p w14:paraId="70AD4A29" w14:textId="56DB5A1B" w:rsidR="009F587A" w:rsidRDefault="009F587A" w:rsidP="009F587A">
      <w:r>
        <w:t xml:space="preserve">A isenção é válida para pessoas físicas que tenham menos de 10% da totalidade de cotas do fundo e exclusivamente para fundos imobiliários cujas cotas sejam negociadas em Bolsa de Valores e que tenham mais de 50 cotistas. Agora, quando você for vender a cota, nessa hora sim existe cobrança de imposto de renda, embora apenas sobre o valor a mais que você conseguir vender. </w:t>
      </w:r>
    </w:p>
    <w:p w14:paraId="62D002E2" w14:textId="37DA9037" w:rsidR="009F587A" w:rsidRDefault="009F587A" w:rsidP="009F587A">
      <w:r>
        <w:t>Código de regulação e melhores práticas para administração de recursos de terceiros. Anexo que trata de fundos de investimentos imobiliários</w:t>
      </w:r>
    </w:p>
    <w:p w14:paraId="12A2B3BF" w14:textId="6790C4CB" w:rsidR="009F587A" w:rsidRDefault="009F587A" w:rsidP="009F587A">
      <w:r>
        <w:t>O anexo que trata de fundo de investimento imobiliário se aplica, em adição às regras do Código, aos Fundos de Investimento Imobiliários regulados pela Instrução CVM no 472, de 31 de outubro de 2008, e suas alterações posteriores (“FII” ou “Fundo”).</w:t>
      </w:r>
    </w:p>
    <w:p w14:paraId="6A5BCCC5" w14:textId="2CDE4F31" w:rsidR="009F587A" w:rsidRDefault="009F587A" w:rsidP="009F587A">
      <w:r>
        <w:t xml:space="preserve">Em caso de eventual divergência entre as disposições do anexo e do Código de administração de recursos de terceiros, prevalecem as disposições deste anexo. </w:t>
      </w:r>
    </w:p>
    <w:p w14:paraId="44773AD5" w14:textId="4A189A25" w:rsidR="009F587A" w:rsidRDefault="009F587A" w:rsidP="009F587A">
      <w:r>
        <w:t xml:space="preserve">Prospecto de FII </w:t>
      </w:r>
    </w:p>
    <w:p w14:paraId="2FB4521C" w14:textId="1CFA5196" w:rsidR="009F587A" w:rsidRDefault="009F587A" w:rsidP="009F587A">
      <w:r>
        <w:t>O prospecto é elaborado pelo Administrador Fiduciário e deve conter as principais características do FII, dentre as quais as informações relevantes aos investidores sobre políticas de investimento, taxas e riscos envolvidos, bem como seus direitos e responsabilidades.</w:t>
      </w:r>
    </w:p>
    <w:p w14:paraId="37341028" w14:textId="26AEDA52" w:rsidR="009F587A" w:rsidRDefault="009F587A" w:rsidP="009F587A">
      <w:r>
        <w:t xml:space="preserve">O prospecto do FII deve conter, no mínimo: </w:t>
      </w:r>
    </w:p>
    <w:p w14:paraId="72F0CA7C" w14:textId="116E8288" w:rsidR="009F587A" w:rsidRDefault="009F587A" w:rsidP="009F587A">
      <w:r>
        <w:t>I. Denominação do FII;</w:t>
      </w:r>
    </w:p>
    <w:p w14:paraId="5F068D9F" w14:textId="0CAE2FDA" w:rsidR="009F587A" w:rsidRDefault="009F587A" w:rsidP="009F587A">
      <w:r>
        <w:t xml:space="preserve"> II. Base legal;</w:t>
      </w:r>
    </w:p>
    <w:p w14:paraId="0EA490A5" w14:textId="252161B5" w:rsidR="009F587A" w:rsidRDefault="009F587A" w:rsidP="009F587A">
      <w:r>
        <w:lastRenderedPageBreak/>
        <w:t xml:space="preserve"> III. Prazo de duração;</w:t>
      </w:r>
    </w:p>
    <w:p w14:paraId="76624145" w14:textId="5792680F" w:rsidR="009F587A" w:rsidRDefault="009F587A" w:rsidP="009F587A">
      <w:r>
        <w:t xml:space="preserve"> IV. Identificação dos prestadores de serviços; </w:t>
      </w:r>
    </w:p>
    <w:p w14:paraId="62DD8C92" w14:textId="5F2B8F32" w:rsidR="009F587A" w:rsidRDefault="009F587A" w:rsidP="009F587A">
      <w:r>
        <w:t>V. Política de divulgação de informações;</w:t>
      </w:r>
    </w:p>
    <w:p w14:paraId="4690FB0D" w14:textId="316DDFB2" w:rsidR="009F587A" w:rsidRDefault="009F587A" w:rsidP="009F587A">
      <w:r>
        <w:t xml:space="preserve"> VI. Público-alvo; </w:t>
      </w:r>
    </w:p>
    <w:p w14:paraId="58C06B8B" w14:textId="3CB2C64A" w:rsidR="009F587A" w:rsidRDefault="009F587A" w:rsidP="009F587A">
      <w:r>
        <w:t xml:space="preserve">VII. Objetivo e política de investimento: descrever a política de investimento que será adotada pelo FII contendo, no mínimo: </w:t>
      </w:r>
    </w:p>
    <w:p w14:paraId="0A148438" w14:textId="4CFA62F2" w:rsidR="009F587A" w:rsidRDefault="009F587A" w:rsidP="009F587A">
      <w:r>
        <w:t>i. Forma como o FII pretende atingir o seu objetivo de investimento, identificando a classificação ANBIMA do FII e o tipo de gestão, conforme Diretriz ANBIMA de classificação de FII;</w:t>
      </w:r>
    </w:p>
    <w:p w14:paraId="1E6AAD7D" w14:textId="380FB0B2" w:rsidR="009F587A" w:rsidRDefault="009F587A" w:rsidP="009F587A">
      <w:r>
        <w:t xml:space="preserve"> ii. Se o FII for de gestão ativa, mencionar a especificação do grau de liberdade para alienação e aquisição dos ativos que o Administrador Fiduciário ou Gestor de Recursos, quando houver, se reserva no cumprimento da política de investimento, indicando a natureza das operações que fica autorizado a realizar independentemente de prévia autorização dos investidores;</w:t>
      </w:r>
    </w:p>
    <w:p w14:paraId="5AB58F9B" w14:textId="2DC6A0B3" w:rsidR="009F587A" w:rsidRDefault="009F587A" w:rsidP="009F587A">
      <w:r>
        <w:t xml:space="preserve"> iii. Os tipos de ativos que poderão compor o patrimônio do FII e os requisitos de diversificação de investimentos;</w:t>
      </w:r>
    </w:p>
    <w:p w14:paraId="4565D890" w14:textId="74C1116E" w:rsidR="009F587A" w:rsidRDefault="009F587A" w:rsidP="009F587A">
      <w:r>
        <w:t xml:space="preserve"> iv. A possibilidade de o FII contratar operações com derivativos para fins de proteção patrimonial, cuja exposição seja sempre, no máximo, o valor do patrimônio líquido do FII, caso autorizada no regulamento; </w:t>
      </w:r>
    </w:p>
    <w:p w14:paraId="6A73B687" w14:textId="0567A8BD" w:rsidR="009F587A" w:rsidRDefault="009F587A" w:rsidP="009F587A">
      <w:r>
        <w:t xml:space="preserve">v. A possibilidade de aquisição de imóveis gravados com ônus reais. </w:t>
      </w:r>
    </w:p>
    <w:p w14:paraId="2E98F4CA" w14:textId="67F1F1E4" w:rsidR="009F587A" w:rsidRDefault="009F587A" w:rsidP="009F587A">
      <w:r>
        <w:t>VIII. Política de concentração de investimento, quando aplicável: descrever os requisitos de diversificação de investimentos e as políticas de seleção e alocação dos ativos-alvo;</w:t>
      </w:r>
    </w:p>
    <w:p w14:paraId="6A5C6401" w14:textId="1AC73967" w:rsidR="009F587A" w:rsidRDefault="009F587A" w:rsidP="009F587A">
      <w:r>
        <w:t xml:space="preserve"> IX. Política de amortização e de distribuição de resultados, quando aplicável: informar os prazos e condições de pagamento; </w:t>
      </w:r>
    </w:p>
    <w:p w14:paraId="3359C779" w14:textId="47D9B0FD" w:rsidR="009F587A" w:rsidRDefault="009F587A" w:rsidP="009F587A">
      <w:r>
        <w:t xml:space="preserve">X. Descrição das cotas: descrever as diferentes classes de cotas, quando for o caso, com a descrição dos direitos de cada uma delas; </w:t>
      </w:r>
    </w:p>
    <w:p w14:paraId="21F147F4" w14:textId="1E40108A" w:rsidR="009F587A" w:rsidRDefault="009F587A" w:rsidP="009F587A">
      <w:r>
        <w:t xml:space="preserve">XI. Negociação das cotas: descrever as condições e o mercado em que as cotas poderão ser negociadas e, no caso de novas ofertas de cotas, quando aplicável, incluir histórico de negociação das cotas em mercados regulamentados, identificando, se houver: </w:t>
      </w:r>
    </w:p>
    <w:p w14:paraId="11A7CCFF" w14:textId="50927930" w:rsidR="009F587A" w:rsidRDefault="009F587A" w:rsidP="009F587A">
      <w:r>
        <w:t>i. Cotação mínima, média e máxima de cada ano, nos últimos cinco anos;</w:t>
      </w:r>
    </w:p>
    <w:p w14:paraId="016D2CC2" w14:textId="43132580" w:rsidR="009F587A" w:rsidRDefault="009F587A" w:rsidP="009F587A">
      <w:r>
        <w:t xml:space="preserve"> ii. Cotação mínima, média e máxima de cada trimestre, nos últimos dois anos; e</w:t>
      </w:r>
    </w:p>
    <w:p w14:paraId="383A060A" w14:textId="5AF34E63" w:rsidR="009F587A" w:rsidRDefault="009F587A" w:rsidP="009F587A">
      <w:r>
        <w:t xml:space="preserve"> iii. Cotação mínima, média e máxima de cada mês, nos últimos seis meses;</w:t>
      </w:r>
    </w:p>
    <w:p w14:paraId="05CD270A" w14:textId="005F169E" w:rsidR="009F587A" w:rsidRDefault="009F587A" w:rsidP="009F587A">
      <w:r>
        <w:t xml:space="preserve"> XII. Regras de subscrição e integralização de cotas: indicar os procedimentos de subscrição e integralização nas ofertas;</w:t>
      </w:r>
    </w:p>
    <w:p w14:paraId="277F0BC9" w14:textId="53019FDF" w:rsidR="009F587A" w:rsidRDefault="009F587A" w:rsidP="009F587A">
      <w:r>
        <w:t xml:space="preserve"> XIII. Principais características da oferta: descrever as principais características da oferta, em especial as informações sobre prazos, quantidade de cotas ofertadas, incluindo a possibilidade ou não de futuras emissões, existência de direito de preferência, divisão em séries e, se for o caso, valor mínimo de investimentos; </w:t>
      </w:r>
    </w:p>
    <w:p w14:paraId="5B2B3F1B" w14:textId="707E12F3" w:rsidR="009F587A" w:rsidRDefault="009F587A" w:rsidP="009F587A">
      <w:r>
        <w:lastRenderedPageBreak/>
        <w:t xml:space="preserve">XIV. Relacionamento: incluir informações, de forma consolidada, sobre relacionamento entre o FII e seus prestadores de serviços e, caso o FII possua identificação dos ativos-alvo na data da oferta pública, incluir informações de forma consolidada sobre relacionamento entre os ativos-alvo e o Administrador Fiduciário, o Gestor de Recursos e/ou consultoria especializada, se houver; </w:t>
      </w:r>
    </w:p>
    <w:p w14:paraId="75CCB954" w14:textId="2FA9DEAD" w:rsidR="009F587A" w:rsidRDefault="009F587A" w:rsidP="009F587A">
      <w:r>
        <w:t xml:space="preserve">XV. Indicação de potenciais conflitos de interesse: explicitar potenciais conflitos de interesse decorrentes dos relacionamentos identificados no inciso acima, assim como os mecanismos adotados para eliminá-los ou mitigá-los; </w:t>
      </w:r>
    </w:p>
    <w:p w14:paraId="65E26801" w14:textId="67999119" w:rsidR="009F587A" w:rsidRDefault="009F587A" w:rsidP="009F587A">
      <w:r>
        <w:t>XVI. Estudo de viabilidade: apresentar o estudo de viabilidade efetuado para a oferta pública do FII demonstrando expectativa de retorno do investimento, com exposição clara e objetiva das premissas adotadas;</w:t>
      </w:r>
    </w:p>
    <w:p w14:paraId="1D6FC100" w14:textId="09606B50" w:rsidR="009F587A" w:rsidRDefault="009F587A" w:rsidP="009F587A">
      <w:r>
        <w:t xml:space="preserve"> XVII. Laudo de avaliação: apresentar o laudo de avaliação quando houver definição específica dos ativos-alvo que integrarão a carteira do FII; </w:t>
      </w:r>
    </w:p>
    <w:p w14:paraId="711BEC60" w14:textId="1D5567DC" w:rsidR="009F587A" w:rsidRDefault="009F587A" w:rsidP="009F587A">
      <w:r>
        <w:t xml:space="preserve">XVIII. Rentabilidade do FII: informar se há rentabilidade pretendida no FII e, quando houver, informar a metodologia aplicada, e caso não haja, informar ao potencial investidor que o FII não busca um objetivo de retorno determinado; </w:t>
      </w:r>
    </w:p>
    <w:p w14:paraId="01595C92" w14:textId="73B5B7B4" w:rsidR="009F587A" w:rsidRDefault="009F587A" w:rsidP="009F587A">
      <w:r>
        <w:t xml:space="preserve">XIX. Receita mínima garantida: indicar, caso o FII tenha receita ou rentabilidade mínima garantida, a fonte pagadora da receita, o beneficiário, o percentual ou montante, a periodicidade e o prazo oferecido; </w:t>
      </w:r>
    </w:p>
    <w:p w14:paraId="44983B4F" w14:textId="31B650C0" w:rsidR="009F587A" w:rsidRDefault="009F587A" w:rsidP="009F587A">
      <w:r>
        <w:t xml:space="preserve">XX. Fatores de risco: indicar, obrigatoriamente, todo e qualquer fator relativo ao FII que possa, de forma relevante, afetar a decisão do potencial investidor no que diz respeito à aquisição das cotas do FII, devendo constar, no mínimo: </w:t>
      </w:r>
    </w:p>
    <w:p w14:paraId="5F7D17C1" w14:textId="36E95D8A" w:rsidR="009F587A" w:rsidRDefault="009F587A" w:rsidP="009F587A">
      <w:r>
        <w:t xml:space="preserve">i. Risco de mercado; </w:t>
      </w:r>
    </w:p>
    <w:p w14:paraId="2B0CE873" w14:textId="606C5442" w:rsidR="009F587A" w:rsidRDefault="009F587A" w:rsidP="009F587A">
      <w:r>
        <w:t>ii. Risco de crédito;</w:t>
      </w:r>
    </w:p>
    <w:p w14:paraId="55C028EB" w14:textId="6593568D" w:rsidR="009F587A" w:rsidRDefault="009F587A" w:rsidP="009F587A">
      <w:r>
        <w:t xml:space="preserve"> iii. Risco de liquidez da carteira do FII;</w:t>
      </w:r>
    </w:p>
    <w:p w14:paraId="290AEC2F" w14:textId="5FA8B0CB" w:rsidR="009F587A" w:rsidRDefault="009F587A" w:rsidP="009F587A">
      <w:r>
        <w:t xml:space="preserve"> iv. Risco de liquidez das cotas;</w:t>
      </w:r>
    </w:p>
    <w:p w14:paraId="42C6460B" w14:textId="7FF11B13" w:rsidR="009F587A" w:rsidRDefault="009F587A" w:rsidP="009F587A">
      <w:r>
        <w:t xml:space="preserve"> v. Risco tributário: descrever os riscos tributários e riscos relacionados ao desenquadramento do FII quanto aos requisitos necessários para a obtenção dos benefícios que a regulação em vigor concede ao FII e a seus investidores, bem como outros riscos tributários aplicáveis, inclusive riscos de alterações na Regulação tributária;</w:t>
      </w:r>
    </w:p>
    <w:p w14:paraId="1E640AE7" w14:textId="130F8B89" w:rsidR="009F587A" w:rsidRDefault="009F587A" w:rsidP="009F587A">
      <w:r>
        <w:t xml:space="preserve"> vi. Risco regulatório; </w:t>
      </w:r>
    </w:p>
    <w:p w14:paraId="2F5CFA12" w14:textId="59790707" w:rsidR="009F587A" w:rsidRDefault="009F587A" w:rsidP="009F587A">
      <w:r>
        <w:t>vii. Risco de governança: descrever a existência de restrições para o exercício de  voto e eventuais quóruns qualificados para deliberação (que poderão resultar na não deliberação de determinadas matérias);</w:t>
      </w:r>
    </w:p>
    <w:p w14:paraId="189D069A" w14:textId="50C2BA7C" w:rsidR="009F587A" w:rsidRDefault="009F587A" w:rsidP="009F587A">
      <w:r>
        <w:t xml:space="preserve"> viii. Risco operacional; </w:t>
      </w:r>
    </w:p>
    <w:p w14:paraId="057A1294" w14:textId="3A449284" w:rsidR="009F587A" w:rsidRDefault="009F587A" w:rsidP="009F587A">
      <w:r>
        <w:t xml:space="preserve">ix. Risco jurídico: descrever os riscos jurídicos relevantes, tais como de decisões judiciais, extrajudiciais ou arbitrais desfavoráveis e risco de eventuais contingências não identificadas ou não identificáveis. </w:t>
      </w:r>
    </w:p>
    <w:p w14:paraId="7C6710EB" w14:textId="73244046" w:rsidR="009F587A" w:rsidRDefault="009F587A" w:rsidP="009F587A">
      <w:r>
        <w:lastRenderedPageBreak/>
        <w:t>XXI. Fatores de risco adicionais: adicionalmente aos fatores de riscos obrigatórios indicados no inciso acima, incluir, quando aplicável, os fatores de riscos aplicáveis à estrutura do FII, conforme abaixo:</w:t>
      </w:r>
    </w:p>
    <w:p w14:paraId="57C021D2" w14:textId="0E3DC7BC" w:rsidR="009F587A" w:rsidRDefault="009F587A" w:rsidP="009F587A">
      <w:r>
        <w:t xml:space="preserve"> i. Risco de não colocação ou colocação parcial da oferta;</w:t>
      </w:r>
    </w:p>
    <w:p w14:paraId="6CEA4702" w14:textId="617630DF" w:rsidR="009F587A" w:rsidRDefault="009F587A" w:rsidP="009F587A">
      <w:r>
        <w:t xml:space="preserve"> ii. Riscos inerentes às diferentes classes de cotas;</w:t>
      </w:r>
    </w:p>
    <w:p w14:paraId="5B9B8351" w14:textId="7F1EF3A6" w:rsidR="009F587A" w:rsidRDefault="009F587A" w:rsidP="009F587A">
      <w:r>
        <w:t xml:space="preserve"> iii. Risco de concentração;</w:t>
      </w:r>
    </w:p>
    <w:p w14:paraId="2569A545" w14:textId="29C17E81" w:rsidR="009F587A" w:rsidRDefault="009F587A" w:rsidP="009F587A">
      <w:r>
        <w:t xml:space="preserve"> iv. Risco de potencial conflito de interesse.</w:t>
      </w:r>
    </w:p>
    <w:p w14:paraId="5A943494" w14:textId="6902C160" w:rsidR="009F587A" w:rsidRDefault="009F587A" w:rsidP="009F587A">
      <w:r>
        <w:t xml:space="preserve"> XXII. Descrever os riscos do setor imobiliário em que os ativos-alvo do FII estejam expostos, tais como, mas não limitados a: </w:t>
      </w:r>
    </w:p>
    <w:p w14:paraId="7E2FB069" w14:textId="39ED8B38" w:rsidR="009F587A" w:rsidRDefault="009F587A" w:rsidP="009F587A">
      <w:r>
        <w:t xml:space="preserve">i. Risco de desenvolvimento/construção das obras dos empreendimentos imobiliários, tais como: atrasos e/ou não conclusão das obras dos empreendimentos imobiliários; </w:t>
      </w:r>
    </w:p>
    <w:p w14:paraId="4DF3DC1D" w14:textId="0973C8DD" w:rsidR="009F587A" w:rsidRDefault="009F587A" w:rsidP="009F587A">
      <w:r>
        <w:t>ii. Aumento dos custos de construção;</w:t>
      </w:r>
    </w:p>
    <w:p w14:paraId="611CE9DD" w14:textId="3146F00C" w:rsidR="009F587A" w:rsidRDefault="009F587A" w:rsidP="009F587A">
      <w:r>
        <w:t xml:space="preserve"> iii. Risco de vacância dos imóveis; </w:t>
      </w:r>
    </w:p>
    <w:p w14:paraId="3D0D3DA2" w14:textId="02A11563" w:rsidR="009F587A" w:rsidRDefault="009F587A" w:rsidP="009F587A">
      <w:r>
        <w:t>iv. Risco de lançamento de novos empreendimentos imobiliários comerciais próximos aos imóveis investidos;</w:t>
      </w:r>
    </w:p>
    <w:p w14:paraId="319E4AD0" w14:textId="516AA0A1" w:rsidR="009F587A" w:rsidRDefault="009F587A" w:rsidP="009F587A">
      <w:r>
        <w:t xml:space="preserve"> v. Risco de flutuações no valor dos imóveis integrantes da carteira do FII; </w:t>
      </w:r>
    </w:p>
    <w:p w14:paraId="07C86E5D" w14:textId="76C72886" w:rsidR="009F587A" w:rsidRDefault="009F587A" w:rsidP="009F587A">
      <w:r>
        <w:t>vi. Riscos relativos às receitas mais relevantes em caso de locação</w:t>
      </w:r>
    </w:p>
    <w:p w14:paraId="122832E2" w14:textId="78BE22B8" w:rsidR="009F587A" w:rsidRDefault="009F587A" w:rsidP="009F587A">
      <w:r>
        <w:t>vii. Risco de pré-pagamento: descrever o risco de pré-pagamento ou recebimento antecipado dos ativos-alvo;</w:t>
      </w:r>
    </w:p>
    <w:p w14:paraId="20D09128" w14:textId="2EF7E2DE" w:rsidR="009F587A" w:rsidRDefault="009F587A" w:rsidP="009F587A">
      <w:r>
        <w:t>viii. Risco de sinistro: descrever os riscos relativos aos casos de sinistro envolvendo os empreendimentos objeto de investimento e de prejuízos não cobertos no seguro contratado pelo FII;</w:t>
      </w:r>
    </w:p>
    <w:p w14:paraId="2679F13C" w14:textId="61D7CD9D" w:rsidR="009F587A" w:rsidRDefault="009F587A" w:rsidP="009F587A">
      <w:r>
        <w:t xml:space="preserve"> ix. Risco de não contratação de seguro: descrever o risco da não contratação de seguros pelos locatários;</w:t>
      </w:r>
    </w:p>
    <w:p w14:paraId="3925AFDB" w14:textId="5C37C044" w:rsidR="009F587A" w:rsidRDefault="009F587A" w:rsidP="009F587A">
      <w:r>
        <w:t xml:space="preserve"> x. Risco de desapropriação total ou parcial: descrever o risco de desapropriação total ou parcial dos empreendimentos objeto de investimento pelo FII</w:t>
      </w:r>
    </w:p>
    <w:p w14:paraId="04295D5E" w14:textId="5E5ACB57" w:rsidR="009F587A" w:rsidRDefault="009F587A" w:rsidP="009F587A">
      <w:r>
        <w:t>xi. Risco de regularidade dos imóveis: descrever os riscos relativos à regularização dos empreendimentos imobiliários integrantes à carteira do FII;</w:t>
      </w:r>
    </w:p>
    <w:p w14:paraId="1FF848DE" w14:textId="7579D7DA" w:rsidR="009F587A" w:rsidRDefault="009F587A" w:rsidP="009F587A">
      <w:r>
        <w:t xml:space="preserve"> xii. Risco ambiental;</w:t>
      </w:r>
    </w:p>
    <w:p w14:paraId="6E176D00" w14:textId="38C84131" w:rsidR="009F587A" w:rsidRDefault="009F587A" w:rsidP="009F587A">
      <w:r>
        <w:t xml:space="preserve"> xiii. Risco do uso de derivativos;</w:t>
      </w:r>
    </w:p>
    <w:p w14:paraId="688655D9" w14:textId="1EAEF3B6" w:rsidR="009F587A" w:rsidRDefault="009F587A" w:rsidP="009F587A">
      <w:r>
        <w:t>xiv. Risco relacionado à possibilidade de o FII adquirir ativos onerados;</w:t>
      </w:r>
    </w:p>
    <w:p w14:paraId="613C8ABB" w14:textId="6C6CA2D0" w:rsidR="009F587A" w:rsidRDefault="009F587A" w:rsidP="009F587A">
      <w:r>
        <w:t xml:space="preserve"> xv. Risco relacionado às garantias dos ativos: risco de aperfeiçoamento das garantias dos ativos.</w:t>
      </w:r>
    </w:p>
    <w:p w14:paraId="0C84A3B7" w14:textId="2144EE09" w:rsidR="009F587A" w:rsidRDefault="009F587A" w:rsidP="009F587A">
      <w:r>
        <w:t xml:space="preserve"> XXIII. Taxa de administração, taxas de ingresso e taxa de desempenho: especificar a forma de apropriação e pagamento; </w:t>
      </w:r>
    </w:p>
    <w:p w14:paraId="4AB4685B" w14:textId="03134F62" w:rsidR="009F587A" w:rsidRDefault="009F587A" w:rsidP="009F587A">
      <w:r>
        <w:lastRenderedPageBreak/>
        <w:t xml:space="preserve">XXIV. Breve histórico dos terceiros contratados em nome do FII: Administrador Fiduciário, Gestor de Recursos, consultor imobiliário e formador de mercado, quando houver; </w:t>
      </w:r>
    </w:p>
    <w:p w14:paraId="54DA43C0" w14:textId="1CF1CB5C" w:rsidR="009F587A" w:rsidRDefault="009F587A" w:rsidP="009F587A">
      <w:r>
        <w:t>XXV. Descrição das atividades dos contratados, de acordo com o disposto no inciso acima, quando houver</w:t>
      </w:r>
    </w:p>
    <w:p w14:paraId="65B1FC09" w14:textId="16D9169B" w:rsidR="009F587A" w:rsidRDefault="009F587A" w:rsidP="009F587A">
      <w:r>
        <w:t>Os terceiros contratados em nome do FII, são responsáveis, individualmente, pela prestação de suas informações, estando sujeitos às penalidades previstas neste Código nos casos de descumprimento</w:t>
      </w:r>
    </w:p>
    <w:p w14:paraId="51BE2281" w14:textId="27DF085C" w:rsidR="009F587A" w:rsidRDefault="009F587A" w:rsidP="009F587A">
      <w:r>
        <w:t xml:space="preserve">Classificação do FII </w:t>
      </w:r>
    </w:p>
    <w:p w14:paraId="26EFBFFF" w14:textId="32508711" w:rsidR="009F587A" w:rsidRDefault="009F587A" w:rsidP="009F587A">
      <w:r>
        <w:t>O FII deve ser classificado de acordo com seus objetivos, políticas de investimento e composição da carteira</w:t>
      </w:r>
    </w:p>
    <w:p w14:paraId="22BF32D7" w14:textId="114C3ED0" w:rsidR="009F587A" w:rsidRDefault="009F587A" w:rsidP="009F587A">
      <w:r>
        <w:t>A classificação do FII na ANBIMA tem como objetivo separar e identificar os FII conforme suas estratégias e principais fatores de risco.</w:t>
      </w:r>
    </w:p>
    <w:p w14:paraId="680A9100" w14:textId="66316DC0" w:rsidR="009F587A" w:rsidRDefault="009F587A" w:rsidP="009F587A">
      <w:r>
        <w:t>Cabe ao Conselho de Regulação e Melhores Práticas expedir diretrizes que devem ser observadas pelas Instituições Participantes no que se refere à classificação ANBIMA do FII.</w:t>
      </w:r>
    </w:p>
    <w:p w14:paraId="052163DD" w14:textId="35125FCB" w:rsidR="009F587A" w:rsidRDefault="009F587A" w:rsidP="009F587A">
      <w:r>
        <w:t xml:space="preserve">ETF’s - Exchange Traded Funds </w:t>
      </w:r>
    </w:p>
    <w:p w14:paraId="54B21506" w14:textId="00E337C4" w:rsidR="009F587A" w:rsidRDefault="009F587A" w:rsidP="009F587A">
      <w:r>
        <w:t xml:space="preserve">Os ETF’s, também chamado de Fundos de Índices, são comercializados no ambiente da B3 como se fossem ações e visam acompanhar um índice de referência. </w:t>
      </w:r>
    </w:p>
    <w:p w14:paraId="20BFAD62" w14:textId="4DE26255" w:rsidR="009F587A" w:rsidRDefault="009F587A" w:rsidP="009F587A">
      <w:r>
        <w:t>Um Fundo de Índice deve manter no mínimo 95% de seu patrimônio aplicado em valores mobiliários ou outros ativos de renda variável autorizados pela CVM.</w:t>
      </w:r>
    </w:p>
    <w:p w14:paraId="53BB3C9B" w14:textId="5908584D" w:rsidR="009F587A" w:rsidRDefault="009F587A" w:rsidP="009F587A">
      <w:r>
        <w:t xml:space="preserve">Essa aplicação deve ser proporcional ao índice de referência ou a posições compradas no mercado futuro do índice de referência, de forma a refletir a variação e rentabilidade de tal índice. </w:t>
      </w:r>
    </w:p>
    <w:p w14:paraId="369EB947" w14:textId="30307417" w:rsidR="009F587A" w:rsidRDefault="009F587A" w:rsidP="009F587A">
      <w:r>
        <w:t xml:space="preserve">Tributação em ETF’s  </w:t>
      </w:r>
    </w:p>
    <w:p w14:paraId="03C3CCD1" w14:textId="495B52C0" w:rsidR="009F587A" w:rsidRDefault="009F587A" w:rsidP="009F587A">
      <w:r>
        <w:t xml:space="preserve">Esse é um fundo de renda variável, portanto sua tributação obedece a regra estabelecida para esse tipo de fundo, que é: </w:t>
      </w:r>
    </w:p>
    <w:p w14:paraId="39D8ED74" w14:textId="0523CC25" w:rsidR="009F587A" w:rsidRDefault="009F587A" w:rsidP="009F587A">
      <w:r>
        <w:rPr>
          <w:rFonts w:ascii="Segoe UI Symbol" w:hAnsi="Segoe UI Symbol" w:cs="Segoe UI Symbol"/>
        </w:rPr>
        <w:t>⯀</w:t>
      </w:r>
      <w:r>
        <w:t xml:space="preserve"> 15% somente no resgate; </w:t>
      </w:r>
    </w:p>
    <w:p w14:paraId="575305C8" w14:textId="4F826924" w:rsidR="009F587A" w:rsidRDefault="009F587A" w:rsidP="009F587A">
      <w:r>
        <w:rPr>
          <w:rFonts w:ascii="Segoe UI Symbol" w:hAnsi="Segoe UI Symbol" w:cs="Segoe UI Symbol"/>
        </w:rPr>
        <w:t>⯀</w:t>
      </w:r>
      <w:r>
        <w:t xml:space="preserve"> livre de IOF.</w:t>
      </w:r>
    </w:p>
    <w:p w14:paraId="6B5DE96F" w14:textId="43CF5CB1" w:rsidR="009F587A" w:rsidRDefault="009F587A" w:rsidP="009F587A">
      <w:r>
        <w:t>Códigos de Regulação e melhores práticas para administração de recursos de terceiros. Anexo que trata de Fundos de investimentos em índice de mercado.</w:t>
      </w:r>
    </w:p>
    <w:p w14:paraId="52EB80CA" w14:textId="15930263" w:rsidR="009F587A" w:rsidRDefault="009F587A" w:rsidP="009F587A">
      <w:r>
        <w:t>O anexo que trata dos ETF aplica-se, em adição às regras do Código, aos Fundos de Índice de Mercado regulados pela Instrução CVM no 359, de 22 de janeiro de 2002, e suas alterações posteriores (“Fundos de Índice” ou “Fundos”).</w:t>
      </w:r>
    </w:p>
    <w:p w14:paraId="57654F07" w14:textId="09A18C60" w:rsidR="009F587A" w:rsidRDefault="009F587A" w:rsidP="009F587A">
      <w:r>
        <w:t>Em caso de eventual divergência entre as disposições deste anexo de ETF e do Código de administração de recursos de terceiros, prevalecem as disposições deste anexo.</w:t>
      </w:r>
    </w:p>
    <w:p w14:paraId="5A15F72D" w14:textId="175DD4F0" w:rsidR="009F587A" w:rsidRDefault="009F587A" w:rsidP="009F587A">
      <w:r>
        <w:t>Website</w:t>
      </w:r>
    </w:p>
    <w:p w14:paraId="199D9919" w14:textId="05BEB603" w:rsidR="009F587A" w:rsidRDefault="009F587A" w:rsidP="009F587A">
      <w:r>
        <w:t>Sem prejuízo das demais obrigações previstas pela Regulação em vigor, o Administrador Fiduciário deve disponibilizar em seu site na internet, no mínimo:,</w:t>
      </w:r>
    </w:p>
    <w:p w14:paraId="004F1864" w14:textId="005934C3" w:rsidR="009F587A" w:rsidRDefault="009F587A" w:rsidP="009F587A">
      <w:r>
        <w:lastRenderedPageBreak/>
        <w:t xml:space="preserve">I. Fatores de risco: elencar e descrever, de forma clara e objetiva, os fatores de risco conhecidos em que o potencial investidor incorrerá caso venha a adquirir cotas do Fundo de Índice, devendo dispor minimamente sobre: i. Risco de mercado; </w:t>
      </w:r>
    </w:p>
    <w:p w14:paraId="1A1D45FD" w14:textId="7949BBA2" w:rsidR="009F587A" w:rsidRDefault="009F587A" w:rsidP="009F587A">
      <w:r>
        <w:t>ii. Risco sistêmico;</w:t>
      </w:r>
    </w:p>
    <w:p w14:paraId="181A993E" w14:textId="1CB028CC" w:rsidR="009F587A" w:rsidRDefault="009F587A" w:rsidP="009F587A">
      <w:r>
        <w:t xml:space="preserve"> iii. Risco de crédito;</w:t>
      </w:r>
    </w:p>
    <w:p w14:paraId="6E83A26D" w14:textId="4945D734" w:rsidR="009F587A" w:rsidRDefault="009F587A" w:rsidP="009F587A">
      <w:r>
        <w:t xml:space="preserve"> iv. Risco de descolamento de rentabilidade; </w:t>
      </w:r>
    </w:p>
    <w:p w14:paraId="1E96FD8E" w14:textId="1D39B0F1" w:rsidR="009F587A" w:rsidRDefault="009F587A" w:rsidP="009F587A">
      <w:r>
        <w:t>v. Risco de liquidez das cotas do Fundo de Índice;</w:t>
      </w:r>
    </w:p>
    <w:p w14:paraId="422469CE" w14:textId="0D0F02DD" w:rsidR="009F587A" w:rsidRDefault="009F587A" w:rsidP="009F587A">
      <w:r>
        <w:t xml:space="preserve">vi. Risco de liquidez dos ativos: descrever as condições de liquidez dos mercados e seus efeitos sobre os ativos componentes da carteira do Fundo de Índice, as condições de solvência do Fundo e a relação desse risco com as solicitações de resgate de cotas; </w:t>
      </w:r>
    </w:p>
    <w:p w14:paraId="1C1B428D" w14:textId="37DBF9E8" w:rsidR="009F587A" w:rsidRDefault="009F587A" w:rsidP="009F587A">
      <w:r>
        <w:t xml:space="preserve">vii. Risco de o investidor não atender aos requisitos mínimos para emissão e resgate; </w:t>
      </w:r>
    </w:p>
    <w:p w14:paraId="6D913D99" w14:textId="13ED9A00" w:rsidR="009F587A" w:rsidRDefault="009F587A" w:rsidP="009F587A">
      <w:r>
        <w:t>viii. Risco de ágio e deságio na negociação das cotas em relação ao valor patrimonial e/ou seu valor indicativo;</w:t>
      </w:r>
    </w:p>
    <w:p w14:paraId="0F6C9ADF" w14:textId="3D27B873" w:rsidR="009F587A" w:rsidRDefault="009F587A" w:rsidP="009F587A">
      <w:r>
        <w:t xml:space="preserve"> ix. Risco de o provedor do índice parar de administrar ou manter o índice; </w:t>
      </w:r>
    </w:p>
    <w:p w14:paraId="05454653" w14:textId="10B9A626" w:rsidR="009F587A" w:rsidRDefault="009F587A" w:rsidP="009F587A">
      <w:r>
        <w:t xml:space="preserve">x. Risco de suspensão da negociação das cotas por parte da Comissão de Valores Mobiliários, bolsa de valores ou entidade do mercado de balcão organizado; </w:t>
      </w:r>
    </w:p>
    <w:p w14:paraId="310359BB" w14:textId="187662D1" w:rsidR="009F587A" w:rsidRDefault="009F587A" w:rsidP="009F587A">
      <w:r>
        <w:t>xi. Risco relativo ao fornecimento ou disponibilização do índice;</w:t>
      </w:r>
    </w:p>
    <w:p w14:paraId="62710442" w14:textId="14B25512" w:rsidR="009F587A" w:rsidRDefault="009F587A" w:rsidP="009F587A">
      <w:r>
        <w:t xml:space="preserve"> II. Seção específica com informações sobre os Fundos de Índice, devendo dispor, minimamente, sobre:</w:t>
      </w:r>
    </w:p>
    <w:p w14:paraId="0DA4FD21" w14:textId="515DC098" w:rsidR="009F587A" w:rsidRDefault="009F587A" w:rsidP="009F587A">
      <w:r>
        <w:t xml:space="preserve"> i. O que são os Fundos de Índice; </w:t>
      </w:r>
    </w:p>
    <w:p w14:paraId="58B22D62" w14:textId="33E77419" w:rsidR="009F587A" w:rsidRDefault="009F587A" w:rsidP="009F587A">
      <w:r>
        <w:t>ii. Semelhanças e diferenças entre os Fundos de Índice e os demais fundos;</w:t>
      </w:r>
    </w:p>
    <w:p w14:paraId="4D229441" w14:textId="2E454EA9" w:rsidR="009F587A" w:rsidRDefault="009F587A" w:rsidP="009F587A">
      <w:r>
        <w:t xml:space="preserve"> iii. Como ocorre o processo de integralização e resgate de cotas do Fundo de Índice; </w:t>
      </w:r>
    </w:p>
    <w:p w14:paraId="53B399F2" w14:textId="7B0C9F39" w:rsidR="009F587A" w:rsidRDefault="009F587A" w:rsidP="009F587A">
      <w:r>
        <w:t xml:space="preserve">iv. Estratégias permitidas pela Regulação e como os Fundos de Índice ofertados no site se enquadram a regulação aplicável; </w:t>
      </w:r>
    </w:p>
    <w:p w14:paraId="3D86A4F1" w14:textId="77866CE6" w:rsidR="009F587A" w:rsidRDefault="009F587A" w:rsidP="009F587A">
      <w:r>
        <w:t>v. Como os Fundos de Índice atingem o seu objetivo; vi. Como o investidor pode acompanhar a evolução do preço do Fundo de Índice;</w:t>
      </w:r>
    </w:p>
    <w:p w14:paraId="503265D4" w14:textId="43089559" w:rsidR="009F587A" w:rsidRDefault="009F587A" w:rsidP="009F587A">
      <w:r>
        <w:t xml:space="preserve"> III. Seção específica com termos e definições financeiras (“glossário”) sobre o Fundo de Índice, que permitam esclarecer ao potencial investidor eventuais dúvidas a respeito dos materiais do Fundo disponibilizados no website;</w:t>
      </w:r>
    </w:p>
    <w:p w14:paraId="2485AD5E" w14:textId="60B9629A" w:rsidR="009F587A" w:rsidRDefault="009F587A" w:rsidP="009F587A">
      <w:r>
        <w:t xml:space="preserve"> IV. Aviso na seção “Taxas e demais despesas do Fundo”, com o seguinte teor: “Esta modalidade de investimento possui outros custos envolvidos, além das despesas do próprio fundo. Antes de investir, verifique os custos com corretagem, emolumentos e custódia.”</w:t>
      </w:r>
    </w:p>
    <w:p w14:paraId="5EA2E2F3" w14:textId="3B564449" w:rsidR="009F587A" w:rsidRDefault="009F587A" w:rsidP="009F587A">
      <w:r>
        <w:t xml:space="preserve"> V. Avisos com o seguinte teor, quando aplicável:</w:t>
      </w:r>
    </w:p>
    <w:p w14:paraId="7C644D2F" w14:textId="62152856" w:rsidR="009F587A" w:rsidRDefault="009F587A" w:rsidP="009F587A">
      <w:r>
        <w:t xml:space="preserve"> i. “O investimento em fundos de índice envolve riscos, inclusive de descolamento do índice de referência e relacionados à liquidez das cotas no mercado secundário. Antes de investir no fundo, leia o regulamento e as informações constantes do site (endereço do website dedicado), em especial, a seção fatores de risco.” </w:t>
      </w:r>
    </w:p>
    <w:p w14:paraId="1361C326" w14:textId="68BE2819" w:rsidR="009F587A" w:rsidRDefault="009F587A" w:rsidP="009F587A">
      <w:r>
        <w:lastRenderedPageBreak/>
        <w:t xml:space="preserve">ii. “Ao investidor é recomendada a leitura cuidadosa do regulamento do fundo de investimento ao aplicar seus recursos.” </w:t>
      </w:r>
    </w:p>
    <w:p w14:paraId="10042ABC" w14:textId="2B54A156" w:rsidR="009F587A" w:rsidRDefault="009F587A" w:rsidP="009F587A">
      <w:r>
        <w:t>iii. “Este fundo utiliza estratégias que podem resultar em significativas perdas patrimoniais para seus cotistas.</w:t>
      </w:r>
    </w:p>
    <w:p w14:paraId="055926A2" w14:textId="6DE95451" w:rsidR="009F587A" w:rsidRDefault="009F587A" w:rsidP="009F587A">
      <w:r>
        <w:t xml:space="preserve">VI. Selo ANBIMA com texto obrigatório contendo aviso com o seguinte teor: “A presente instituição aderiu ao Código ANBIMA de Regulação e Melhores Práticas para Administração de Recursos de Terceiros.” </w:t>
      </w:r>
    </w:p>
    <w:p w14:paraId="5291719C" w14:textId="75C6FD1E" w:rsidR="009F587A" w:rsidRDefault="009F587A" w:rsidP="009F587A">
      <w:r>
        <w:t>Os materiais de divulgação do Fundo de Índice constantes do website devem apresentar linguagem clara e moderada, advertindo os investidores para o risco do investimento, além de conter a expressão “material publicitário”, de forma a alertar os investidores de que não são suficientes para a tomada de decisão de investimento.</w:t>
      </w:r>
    </w:p>
    <w:p w14:paraId="5C7E5302" w14:textId="147C0B37" w:rsidR="009F587A" w:rsidRDefault="009F587A" w:rsidP="009F587A">
      <w:r>
        <w:t xml:space="preserve">Fundos de Investimento em Direitos Creditórios (FIDC E FIC-FIDC) </w:t>
      </w:r>
    </w:p>
    <w:p w14:paraId="35B53ACD" w14:textId="1613E670" w:rsidR="009F587A" w:rsidRDefault="009F587A" w:rsidP="009F587A">
      <w:r>
        <w:t>O Fundo de Investimento em Direitos Creditórios é uma comunhão de recursos que destina mais de 50% do seu respectivo patrimônio líquido para aplicações em direitos creditórios</w:t>
      </w:r>
    </w:p>
    <w:p w14:paraId="2CAFFA04" w14:textId="075BFE2F" w:rsidR="009F587A" w:rsidRDefault="009F587A" w:rsidP="009F587A">
      <w:r>
        <w:t>Esses créditos são originários de operações realizadas em instituições financeiras, indústria, arrendamento mercantil, hipotecas, prestação de serviços e outros títulos que possam ser admitidos como direito de crédito pela CVM</w:t>
      </w:r>
    </w:p>
    <w:p w14:paraId="71E78CA9" w14:textId="128EB254" w:rsidR="009F587A" w:rsidRDefault="009F587A" w:rsidP="009F587A">
      <w:r>
        <w:t>Dessa forma, as operações de crédito originalmente feitas podem ser cedidas aos fundos que assumem estes direitos creditórios. Esta operação permite aos bancos, por exemplo, que cedam (vendam) seus empréstimos aos FIDC, liberando espaço para novas operações e aumentando a liquidez deste mercado.</w:t>
      </w:r>
    </w:p>
    <w:p w14:paraId="7E70C7FB" w14:textId="6F33175B" w:rsidR="009F587A" w:rsidRDefault="009F587A" w:rsidP="009F587A">
      <w:r>
        <w:t>Os cotistas dos FIDC somente podem ser investidores qualificados (ter no mínimo 300 mil reais investidos e declarar esta condição por escrito).</w:t>
      </w:r>
    </w:p>
    <w:p w14:paraId="7FD42BD9" w14:textId="741CDE72" w:rsidR="009F587A" w:rsidRDefault="009F587A" w:rsidP="009F587A">
      <w:r>
        <w:t xml:space="preserve">Estes Fundos podem ser: </w:t>
      </w:r>
    </w:p>
    <w:p w14:paraId="50B8F577" w14:textId="7ECC065B" w:rsidR="009F587A" w:rsidRDefault="009F587A" w:rsidP="009F587A">
      <w:r>
        <w:rPr>
          <w:rFonts w:ascii="Segoe UI Symbol" w:hAnsi="Segoe UI Symbol" w:cs="Segoe UI Symbol"/>
        </w:rPr>
        <w:t>⯀</w:t>
      </w:r>
      <w:r>
        <w:t xml:space="preserve"> abertos: quando os cotistas podem solicitar resgate das cotas, de acordo com o estatuto do fundo; </w:t>
      </w:r>
    </w:p>
    <w:p w14:paraId="3BE9987B" w14:textId="64FAA655" w:rsidR="009F587A" w:rsidRDefault="009F587A" w:rsidP="009F587A">
      <w:r>
        <w:rPr>
          <w:rFonts w:ascii="Segoe UI Symbol" w:hAnsi="Segoe UI Symbol" w:cs="Segoe UI Symbol"/>
        </w:rPr>
        <w:t>⯀</w:t>
      </w:r>
      <w:r>
        <w:t xml:space="preserve"> fechados: quando as cotas podem ser resgatadas somente ao término do prazo de duração do fundo, ou no caso de sua liquidação.</w:t>
      </w:r>
    </w:p>
    <w:p w14:paraId="7F1F6542" w14:textId="4446A37C" w:rsidR="009F587A" w:rsidRDefault="009F587A" w:rsidP="009F587A">
      <w:r>
        <w:t xml:space="preserve">Benefícios dos FIDC </w:t>
      </w:r>
    </w:p>
    <w:p w14:paraId="2E828DE8" w14:textId="5C3DA743" w:rsidR="009F587A" w:rsidRDefault="009F587A" w:rsidP="009F587A">
      <w:r>
        <w:rPr>
          <w:rFonts w:ascii="Segoe UI Symbol" w:hAnsi="Segoe UI Symbol" w:cs="Segoe UI Symbol"/>
        </w:rPr>
        <w:t>⯀</w:t>
      </w:r>
      <w:r>
        <w:t xml:space="preserve"> Para quem cede os direitos creditórios: diminuição dos riscos de crédito e “liberação de espaço no balanço”; </w:t>
      </w:r>
    </w:p>
    <w:p w14:paraId="260F9613" w14:textId="47387718" w:rsidR="009F587A" w:rsidRDefault="009F587A" w:rsidP="009F587A">
      <w:r>
        <w:rPr>
          <w:rFonts w:ascii="Segoe UI Symbol" w:hAnsi="Segoe UI Symbol" w:cs="Segoe UI Symbol"/>
        </w:rPr>
        <w:t>⯀</w:t>
      </w:r>
      <w:r>
        <w:t xml:space="preserve"> Para as empresas: mais liquidez no mercado de crédito; </w:t>
      </w:r>
    </w:p>
    <w:p w14:paraId="0EF6A0B8" w14:textId="7CA7E053" w:rsidR="009F587A" w:rsidRDefault="009F587A" w:rsidP="009F587A">
      <w:r>
        <w:rPr>
          <w:rFonts w:ascii="Segoe UI Symbol" w:hAnsi="Segoe UI Symbol" w:cs="Segoe UI Symbol"/>
        </w:rPr>
        <w:t>⯀</w:t>
      </w:r>
      <w:r>
        <w:t xml:space="preserve"> Para os investidores: uma alternativa de investimento que tende a oferecer uma rentabilidade maior do que a renda fixa tradicional; </w:t>
      </w:r>
    </w:p>
    <w:p w14:paraId="2A2983B3" w14:textId="2E11D1BC" w:rsidR="009F587A" w:rsidRDefault="009F587A" w:rsidP="009F587A">
      <w:r>
        <w:rPr>
          <w:rFonts w:ascii="Segoe UI Symbol" w:hAnsi="Segoe UI Symbol" w:cs="Segoe UI Symbol"/>
        </w:rPr>
        <w:t>⯀</w:t>
      </w:r>
      <w:r>
        <w:t xml:space="preserve"> Não há valor mínimo de aplicação inicial</w:t>
      </w:r>
    </w:p>
    <w:p w14:paraId="6B087D63" w14:textId="0D734FA6" w:rsidR="009F587A" w:rsidRDefault="009F587A" w:rsidP="009F587A">
      <w:r>
        <w:t>Tipos de Cotas</w:t>
      </w:r>
    </w:p>
    <w:p w14:paraId="25C4D382" w14:textId="3E062983" w:rsidR="009F587A" w:rsidRDefault="009F587A" w:rsidP="009F587A">
      <w:r>
        <w:rPr>
          <w:rFonts w:ascii="Segoe UI Symbol" w:hAnsi="Segoe UI Symbol" w:cs="Segoe UI Symbol"/>
        </w:rPr>
        <w:t>⯀</w:t>
      </w:r>
      <w:r>
        <w:t xml:space="preserve"> Cota sênior: aquela que não se subordina às demais para efeito de amortização e resgate;</w:t>
      </w:r>
    </w:p>
    <w:p w14:paraId="22253EBE" w14:textId="30B58042" w:rsidR="009F587A" w:rsidRDefault="009F587A" w:rsidP="009F587A">
      <w:r>
        <w:lastRenderedPageBreak/>
        <w:t xml:space="preserve"> </w:t>
      </w:r>
      <w:r>
        <w:rPr>
          <w:rFonts w:ascii="Segoe UI Symbol" w:hAnsi="Segoe UI Symbol" w:cs="Segoe UI Symbol"/>
        </w:rPr>
        <w:t>⯀</w:t>
      </w:r>
      <w:r>
        <w:t xml:space="preserve"> Cota subordinada: aquela que se subordina à cota sênior ou a outras cotas subordinadas, para efeito de amortização e resgate</w:t>
      </w:r>
    </w:p>
    <w:p w14:paraId="2AF04D01" w14:textId="06922C2D" w:rsidR="009F587A" w:rsidRDefault="009F587A" w:rsidP="009F587A">
      <w:r>
        <w:t>Riscos</w:t>
      </w:r>
    </w:p>
    <w:p w14:paraId="6A98E802" w14:textId="1BC34A9B" w:rsidR="009F587A" w:rsidRDefault="009F587A" w:rsidP="009F587A">
      <w:r>
        <w:t xml:space="preserve"> </w:t>
      </w:r>
      <w:r>
        <w:rPr>
          <w:rFonts w:ascii="Segoe UI Symbol" w:hAnsi="Segoe UI Symbol" w:cs="Segoe UI Symbol"/>
        </w:rPr>
        <w:t>⯀</w:t>
      </w:r>
      <w:r>
        <w:t xml:space="preserve"> O principal risco para o investidor em FIDC é o crédito da carteira de recebíveis. Ou seja, o retorno está diretamente ligado ao nível de inadimplência dos recebíveis que formam o lastro da carteira</w:t>
      </w:r>
    </w:p>
    <w:p w14:paraId="111CD441" w14:textId="2D8947BF" w:rsidR="009F587A" w:rsidRDefault="009F587A" w:rsidP="009F587A">
      <w:r>
        <w:t xml:space="preserve">Os FIDC podem operar no mercado de derivativos (bolsas e balcão com sistema de registro) somente para proteger suas posições à vista. </w:t>
      </w:r>
    </w:p>
    <w:p w14:paraId="2CBED289" w14:textId="4E22F120" w:rsidR="009F587A" w:rsidRDefault="009F587A" w:rsidP="009F587A">
      <w:r>
        <w:t xml:space="preserve">Tributação em FIDC </w:t>
      </w:r>
    </w:p>
    <w:p w14:paraId="19624A0C" w14:textId="13CA2CBC" w:rsidR="009F587A" w:rsidRDefault="009F587A" w:rsidP="009F587A">
      <w:r>
        <w:t>Os FIDCs são tributados conforme a tabela regressiva de IR, é recolhido na fonte e não tem come cotas.</w:t>
      </w:r>
    </w:p>
    <w:p w14:paraId="4E019EEB" w14:textId="62AFF801" w:rsidR="009F587A" w:rsidRDefault="009F587A" w:rsidP="009F587A">
      <w:r>
        <w:t>Código de Regulação e melhores práticas para administração de recursos de terceiros. Anexo que trata dos Fundos de Investimentos em Direitos Creditórios.</w:t>
      </w:r>
    </w:p>
    <w:p w14:paraId="71F0794B" w14:textId="1CCF95BB" w:rsidR="009F587A" w:rsidRDefault="009F587A" w:rsidP="009F587A">
      <w:r>
        <w:t>O anexo que trata dos FIDCs aplica-se, em adição às regras do Código, aos Fundos de Investimento em Direitos Creditórios e aos Fundos de Investimento em cotas de Fundos de Investimento em Direitos Creditórios regulados pela Instrução CVM no 356, de 17 de dezembro de 2001, e suas alterações posteriores.</w:t>
      </w:r>
    </w:p>
    <w:p w14:paraId="514C610A" w14:textId="41A61DBC" w:rsidR="009F587A" w:rsidRDefault="009F587A" w:rsidP="009F587A">
      <w:r>
        <w:t xml:space="preserve">Documentos e Informações do FIDC </w:t>
      </w:r>
    </w:p>
    <w:p w14:paraId="293D04D4" w14:textId="74823131" w:rsidR="009F587A" w:rsidRDefault="009F587A" w:rsidP="009F587A">
      <w:r>
        <w:t>O Administrador Fiduciário deve tomar providências para que sejam disponibilizados aos investidores os documentos relacionados ao FIDC e suas informações periódicas a partir de seu ingresso no Fundo, nos termos da Regulação vigente</w:t>
      </w:r>
    </w:p>
    <w:p w14:paraId="7EFE97E8" w14:textId="57A8744A" w:rsidR="009F587A" w:rsidRDefault="009F587A" w:rsidP="009F587A">
      <w:r>
        <w:t xml:space="preserve">Os documentos devem conter as principais características do FIDC, dentre as quais as informações relevantes aos investidores sobre políticas de investimento, taxas e riscos envolvidos, bem como seus direitos e responsabilidades. </w:t>
      </w:r>
    </w:p>
    <w:p w14:paraId="63B54F0A" w14:textId="08704F8C" w:rsidR="009F587A" w:rsidRDefault="009F587A" w:rsidP="009F587A">
      <w:r>
        <w:t xml:space="preserve">Prospecto do FIDC </w:t>
      </w:r>
    </w:p>
    <w:p w14:paraId="26D76885" w14:textId="70F22A54" w:rsidR="009F587A" w:rsidRDefault="009F587A" w:rsidP="009F587A">
      <w:r>
        <w:t xml:space="preserve">O prospecto do FIDC deve conter, no mínimo: </w:t>
      </w:r>
    </w:p>
    <w:p w14:paraId="6D4A3D1D" w14:textId="1DFF948A" w:rsidR="009F587A" w:rsidRDefault="009F587A" w:rsidP="009F587A">
      <w:r>
        <w:t xml:space="preserve">I. Denominação do FIDC; </w:t>
      </w:r>
    </w:p>
    <w:p w14:paraId="2274BD08" w14:textId="154EBB33" w:rsidR="009F587A" w:rsidRDefault="009F587A" w:rsidP="009F587A">
      <w:r>
        <w:t>II. Classificação ANBIMA, conforme Diretriz ANBIMA de Classificação de FIDC</w:t>
      </w:r>
    </w:p>
    <w:p w14:paraId="40D384E2" w14:textId="4A1836EA" w:rsidR="009F587A" w:rsidRDefault="009F587A" w:rsidP="009F587A">
      <w:r>
        <w:t xml:space="preserve">; III. Base legal; </w:t>
      </w:r>
    </w:p>
    <w:p w14:paraId="760AC083" w14:textId="6C02FFB2" w:rsidR="009F587A" w:rsidRDefault="009F587A" w:rsidP="009F587A">
      <w:r>
        <w:t>IV. Prestadores de serviços:</w:t>
      </w:r>
    </w:p>
    <w:p w14:paraId="29D214E1" w14:textId="4FEA5671" w:rsidR="009F587A" w:rsidRDefault="009F587A" w:rsidP="009F587A">
      <w:r>
        <w:t xml:space="preserve"> i. Administrador Fiduciário; </w:t>
      </w:r>
    </w:p>
    <w:p w14:paraId="3A053D18" w14:textId="07046D86" w:rsidR="009F587A" w:rsidRDefault="009F587A" w:rsidP="009F587A">
      <w:r>
        <w:t xml:space="preserve">ii. Gestor de Recursos; </w:t>
      </w:r>
    </w:p>
    <w:p w14:paraId="4C8FF843" w14:textId="18C98BC9" w:rsidR="009F587A" w:rsidRDefault="009F587A" w:rsidP="009F587A">
      <w:r>
        <w:t xml:space="preserve">iii. custodiante; </w:t>
      </w:r>
    </w:p>
    <w:p w14:paraId="4AB11C1A" w14:textId="77FBFA98" w:rsidR="009F587A" w:rsidRDefault="009F587A" w:rsidP="009F587A">
      <w:r>
        <w:t xml:space="preserve">iv. distribuidor; </w:t>
      </w:r>
    </w:p>
    <w:p w14:paraId="385BD485" w14:textId="09AE1F86" w:rsidR="009F587A" w:rsidRDefault="009F587A" w:rsidP="009F587A">
      <w:r>
        <w:t xml:space="preserve">v. escriturador; vi. auditor; e </w:t>
      </w:r>
    </w:p>
    <w:p w14:paraId="082F8FE7" w14:textId="5F137CF8" w:rsidR="009F587A" w:rsidRDefault="009F587A" w:rsidP="009F587A">
      <w:r>
        <w:t xml:space="preserve">vii. consultor, quando aplicável; </w:t>
      </w:r>
    </w:p>
    <w:p w14:paraId="3A26006B" w14:textId="731DF380" w:rsidR="009F587A" w:rsidRDefault="009F587A" w:rsidP="009F587A">
      <w:r>
        <w:lastRenderedPageBreak/>
        <w:t xml:space="preserve">V. Forma de constituição: condomínio fechado ou aberto; </w:t>
      </w:r>
    </w:p>
    <w:p w14:paraId="73DA33DB" w14:textId="03AF3201" w:rsidR="009F587A" w:rsidRDefault="009F587A" w:rsidP="009F587A">
      <w:r>
        <w:t>VI. Prazo de duração;</w:t>
      </w:r>
    </w:p>
    <w:p w14:paraId="611ED5FC" w14:textId="6151BC06" w:rsidR="009F587A" w:rsidRDefault="009F587A" w:rsidP="009F587A">
      <w:r>
        <w:t>VII. Características da cessão: informar se a cessão é com ou sem Coobrigação, revolvente ou não revolvente e eventuais condições resolutivas, além de informações sobre as condições de permuta e/ou prerrogativa de recompra de Direitos Creditórios por parte da Cedente ou por terceiros, e outros mecanismos de mitigação de riscos como garantias dos Direitos Creditórios ou seguros;</w:t>
      </w:r>
    </w:p>
    <w:p w14:paraId="70E3BAE2" w14:textId="67B68D25" w:rsidR="009F587A" w:rsidRDefault="009F587A" w:rsidP="009F587A">
      <w:r>
        <w:t xml:space="preserve"> VIII. Classe de cotas: sênior(es) e subordinada(s); </w:t>
      </w:r>
    </w:p>
    <w:p w14:paraId="75D3D8E1" w14:textId="40A72801" w:rsidR="009F587A" w:rsidRDefault="009F587A" w:rsidP="009F587A">
      <w:r>
        <w:t>IX. Razão de garantia: incluir</w:t>
      </w:r>
    </w:p>
    <w:p w14:paraId="78AAAA20" w14:textId="17A72E7D" w:rsidR="009F587A" w:rsidRDefault="009F587A" w:rsidP="009F587A">
      <w:r>
        <w:t xml:space="preserve"> i. razão mínima das cotas subordinadas, considerando a divisão do valor total das classes subordinadas juniores pelo patrimônio líquido do FIDC; </w:t>
      </w:r>
    </w:p>
    <w:p w14:paraId="29BF5EE6" w14:textId="0CBCC390" w:rsidR="009F587A" w:rsidRDefault="009F587A" w:rsidP="009F587A">
      <w:r>
        <w:t xml:space="preserve">ii. razão total das cotas subordinadas, considerando a divisão do valor total do somatório das classes subordinadas pelo patrimônio líquido do FIDC; </w:t>
      </w:r>
    </w:p>
    <w:p w14:paraId="2ED47F16" w14:textId="1AD8DDAC" w:rsidR="009F587A" w:rsidRDefault="009F587A" w:rsidP="009F587A">
      <w:r>
        <w:t xml:space="preserve">X. Características dos Direitos Creditórios: incluir a natureza do direito creditório, performados ou não performados, segmento(s), o(s) documento(s) que o(s) representa(m), se há ou não garantia e tipos de garantias atreladas; </w:t>
      </w:r>
    </w:p>
    <w:p w14:paraId="3AFDDDC1" w14:textId="190CCB1D" w:rsidR="009F587A" w:rsidRDefault="009F587A" w:rsidP="009F587A">
      <w:r>
        <w:t xml:space="preserve">XI. Amortização e reserva de amortização; </w:t>
      </w:r>
    </w:p>
    <w:p w14:paraId="4A403908" w14:textId="2286663C" w:rsidR="009F587A" w:rsidRDefault="009F587A" w:rsidP="009F587A">
      <w:r>
        <w:t xml:space="preserve">XII. Fluxograma da estrutura do FIDC descrevendo o procedimento de cessão e o fluxo financeiro; XIII. Hipótese de eventos de avaliação, eventos de liquidação e liquidação antecipada; </w:t>
      </w:r>
    </w:p>
    <w:p w14:paraId="4381E311" w14:textId="6EFE0804" w:rsidR="009F587A" w:rsidRDefault="009F587A" w:rsidP="009F587A">
      <w:r>
        <w:t xml:space="preserve">XIV. Política de divulgação de informações; </w:t>
      </w:r>
    </w:p>
    <w:p w14:paraId="7A89DD90" w14:textId="3E02081D" w:rsidR="009F587A" w:rsidRDefault="009F587A" w:rsidP="009F587A">
      <w:r>
        <w:t xml:space="preserve">XV. Objetivo de investimento: descrever, obrigatoriamente, os objetivos de investimento do FIDC, mencionando, quando for o caso, metas e parâmetros de performance; </w:t>
      </w:r>
    </w:p>
    <w:p w14:paraId="4CD5B809" w14:textId="77777777" w:rsidR="009F587A" w:rsidRDefault="009F587A" w:rsidP="009F587A">
      <w:r>
        <w:t>XVI. Política de investimento: descrever, obrigatoriamente, como o FIDC pretende atingir o seu objetivo de investimento, identificando as principais estratégias técnicas ou práticas de investimento a serem utilizadas, os Direitos Creditórios e os tipos de títulos e valores mobiliários nos quais o FIDC pode investir, incluindo, se for o caso, derivativos e suas finalidades;</w:t>
      </w:r>
    </w:p>
    <w:p w14:paraId="7E366DAF" w14:textId="074DC044" w:rsidR="009F587A" w:rsidRDefault="009F587A" w:rsidP="009F587A">
      <w:r>
        <w:t xml:space="preserve">XVII. Políticas de seleção e alocação de ativos e, quando for o caso, política de concentração de ativos; </w:t>
      </w:r>
    </w:p>
    <w:p w14:paraId="64FB0F47" w14:textId="7BA8948F" w:rsidR="009F587A" w:rsidRDefault="009F587A" w:rsidP="009F587A">
      <w:r>
        <w:t>XVIII. Fatores de risco: indicar, obrigatoriamente, todo e qualquer fato relativo ao FIDC que possa de alguma forma afetar a decisão do potencial investidor no que diz respeito à aquisição das cotas do FIDC, devendo constar, dentre os fatores de risco, as seguintes informações:</w:t>
      </w:r>
    </w:p>
    <w:p w14:paraId="4541D371" w14:textId="51426850" w:rsidR="009F587A" w:rsidRDefault="009F587A" w:rsidP="009F587A">
      <w:r>
        <w:t>i. Risco de mercado;</w:t>
      </w:r>
    </w:p>
    <w:p w14:paraId="49E68FD1" w14:textId="0D582771" w:rsidR="009F587A" w:rsidRDefault="009F587A" w:rsidP="009F587A">
      <w:r>
        <w:t xml:space="preserve"> ii. Risco de crédito;</w:t>
      </w:r>
    </w:p>
    <w:p w14:paraId="754B4CBA" w14:textId="14D883BB" w:rsidR="009F587A" w:rsidRDefault="009F587A" w:rsidP="009F587A">
      <w:r>
        <w:t xml:space="preserve"> iii. Risco de descumprimento das obrigações: especificar os possíveis riscos de descumprimento das obrigações de quaisquer outros agentes da estrutura que possam impactar na capacidade de pagamento do FIDC, tais como seguradoras, Cedentes de Direitos </w:t>
      </w:r>
      <w:r>
        <w:lastRenderedPageBreak/>
        <w:t>Creditórios, agentes de cobrança, decorrente de Coobrigação, bem como de qualquer outra garantia prestada ao FIDC;</w:t>
      </w:r>
    </w:p>
    <w:p w14:paraId="6E2A0329" w14:textId="15345CCB" w:rsidR="009F587A" w:rsidRDefault="009F587A" w:rsidP="009F587A">
      <w:r>
        <w:t xml:space="preserve"> iv. Risco de liquidez da carteira do FIDC; </w:t>
      </w:r>
    </w:p>
    <w:p w14:paraId="03CE356C" w14:textId="7DBEA106" w:rsidR="009F587A" w:rsidRDefault="009F587A" w:rsidP="009F587A">
      <w:r>
        <w:t xml:space="preserve">v. Risco de liquidez das cotas; </w:t>
      </w:r>
    </w:p>
    <w:p w14:paraId="04ECDB44" w14:textId="70B8D48A" w:rsidR="009F587A" w:rsidRDefault="009F587A" w:rsidP="009F587A">
      <w:r>
        <w:t xml:space="preserve">vi. Risco proveniente do uso de derivativos; </w:t>
      </w:r>
    </w:p>
    <w:p w14:paraId="778D6CC5" w14:textId="673B8060" w:rsidR="009F587A" w:rsidRDefault="009F587A" w:rsidP="009F587A">
      <w:r>
        <w:t xml:space="preserve">vii. Riscos operacionais: descrever os riscos oriundos dos processos de verificação de lastro por amostragem e manutenção de documentos comprobatórios, os riscos referentes aos processos operacionais de cobrança e fluxos financeiros, entre outros, se aplicável; </w:t>
      </w:r>
    </w:p>
    <w:p w14:paraId="22D02385" w14:textId="7B9D93C9" w:rsidR="009F587A" w:rsidRDefault="009F587A" w:rsidP="009F587A">
      <w:r>
        <w:t>viii. Risco de descontinuidade: descrever, quando aplicável, o impacto sobre o investidor de liquidação antecipada do FIDC, enfatizando a possibilidade de entrega de Direitos Creditórios aos cotistas;</w:t>
      </w:r>
    </w:p>
    <w:p w14:paraId="6F781881" w14:textId="54AFE97F" w:rsidR="009F587A" w:rsidRDefault="009F587A" w:rsidP="009F587A">
      <w:r>
        <w:t xml:space="preserve"> ix. Riscos de originação: descrever, com especial ênfase no caso de FIDC com Direitos Creditórios a performar, a possibilidade de rescisão de contratos que originam: </w:t>
      </w:r>
    </w:p>
    <w:p w14:paraId="55F11F11" w14:textId="78A99DD9" w:rsidR="009F587A" w:rsidRDefault="009F587A" w:rsidP="009F587A">
      <w:r>
        <w:t xml:space="preserve">a. Direitos Creditórios; </w:t>
      </w:r>
    </w:p>
    <w:p w14:paraId="5A4835BE" w14:textId="371696F2" w:rsidR="009F587A" w:rsidRDefault="009F587A" w:rsidP="009F587A">
      <w:r>
        <w:t xml:space="preserve">b. vício na originação; </w:t>
      </w:r>
    </w:p>
    <w:p w14:paraId="589C920B" w14:textId="04BF39BC" w:rsidR="009F587A" w:rsidRDefault="009F587A" w:rsidP="009F587A">
      <w:r>
        <w:t>c. falta de geração, disponibilidade, formalização ou entrega de Direitos Creditórios;</w:t>
      </w:r>
    </w:p>
    <w:p w14:paraId="2E79AEA0" w14:textId="1E19892B" w:rsidR="009F587A" w:rsidRDefault="009F587A" w:rsidP="009F587A">
      <w:r>
        <w:t xml:space="preserve"> x. Risco do originador: descrever, quando aplicável, a natureza cíclica do setor de atuação do originador dos Direitos Creditórios, informando os custos, suprimentos e concorrência do mercado de atuação do originador dos Direitos Creditórios, bem como seus riscos operacionais, riscos em relação à legislação ambiental, quando for o caso, e efeitos da política econômica do governo;</w:t>
      </w:r>
    </w:p>
    <w:p w14:paraId="0D2CE926" w14:textId="77777777" w:rsidR="009F587A" w:rsidRDefault="009F587A" w:rsidP="009F587A">
      <w:r>
        <w:t xml:space="preserve"> xi. Risco de questionamento da validade e eficácia da cessão: descrever a possibilidade de a Cessão dos Direitos Creditórios, nos casos expressamente previstos em Lei, ser invalidada ou tornar-se ineficaz por determinação judicial, inclusive, caso a cessão:</w:t>
      </w:r>
    </w:p>
    <w:p w14:paraId="6DDB2C9C" w14:textId="57FA9365" w:rsidR="009F587A" w:rsidRDefault="009F587A" w:rsidP="009F587A">
      <w:r>
        <w:t xml:space="preserve"> a. seja considerada simulada; </w:t>
      </w:r>
    </w:p>
    <w:p w14:paraId="4C7D7A07" w14:textId="77777777" w:rsidR="009F587A" w:rsidRDefault="009F587A" w:rsidP="009F587A">
      <w:r>
        <w:t xml:space="preserve">b. seja realizada em fraude contra credores; </w:t>
      </w:r>
    </w:p>
    <w:p w14:paraId="60A9C53D" w14:textId="5711447E" w:rsidR="009F587A" w:rsidRDefault="009F587A" w:rsidP="009F587A">
      <w:r>
        <w:t>c. não seja registrada em cartório de títulos e documentos; e/ou</w:t>
      </w:r>
    </w:p>
    <w:p w14:paraId="6D77B94A" w14:textId="3F361806" w:rsidR="009F587A" w:rsidRDefault="009F587A" w:rsidP="009F587A">
      <w:r>
        <w:t xml:space="preserve"> d. não tenha sido notificada ao devedor/sacado;</w:t>
      </w:r>
    </w:p>
    <w:p w14:paraId="61295842" w14:textId="18EC6046" w:rsidR="009F587A" w:rsidRDefault="009F587A" w:rsidP="009F587A">
      <w:r>
        <w:t>xii. Risco de fungibilidade: descrever riscos oriundos da operacionalização da segregação do fluxo de pagamento dos Direitos Creditórios cedidos ao FIDC;</w:t>
      </w:r>
    </w:p>
    <w:p w14:paraId="4CEA6211" w14:textId="44129BB6" w:rsidR="009F587A" w:rsidRDefault="009F587A" w:rsidP="009F587A">
      <w:r>
        <w:t xml:space="preserve"> xiii. Risco de concentração; </w:t>
      </w:r>
    </w:p>
    <w:p w14:paraId="46EDB6D2" w14:textId="799E2C33" w:rsidR="009F587A" w:rsidRDefault="009F587A" w:rsidP="009F587A">
      <w:r>
        <w:t>xiv. Risco de pré-pagamento: descrever riscos oriundos do pagamento antecipado pelos sacados com taxa de desconto que possam afetar a rentabilidade da carteira do FIDC;</w:t>
      </w:r>
    </w:p>
    <w:p w14:paraId="090E8B84" w14:textId="44CCA336" w:rsidR="009F587A" w:rsidRDefault="009F587A" w:rsidP="009F587A">
      <w:r>
        <w:t xml:space="preserve"> xv. Risco de governança: quando aplicável, informar os cotistas a respeito do potencial conflito de interesses entre as diferentes classes e séries de cotas do FIDC, inclusive advindos de quóruns qualificados para aprovação de matérias em assembleia, bem como os eventuais </w:t>
      </w:r>
      <w:r>
        <w:lastRenderedPageBreak/>
        <w:t xml:space="preserve">riscos oriundos da possibilidade de eventos que possam modificar a relação de poderes para alteração dos termos e condições da operação; </w:t>
      </w:r>
    </w:p>
    <w:p w14:paraId="577AF105" w14:textId="4E4E1E54" w:rsidR="009F587A" w:rsidRDefault="009F587A" w:rsidP="009F587A">
      <w:r>
        <w:t xml:space="preserve">xvi. Risco de ausência de histórico da carteira: descrever, quando a emissão for composta por Direitos Creditórios pulverizados e não houver histórico da carteira; </w:t>
      </w:r>
    </w:p>
    <w:p w14:paraId="356376AA" w14:textId="6FCE0977" w:rsidR="009F587A" w:rsidRDefault="009F587A" w:rsidP="009F587A">
      <w:r>
        <w:t xml:space="preserve">XIX. Gestão de risco: descrever a metodologia de gestão de risco utilizada para o FIDC; </w:t>
      </w:r>
    </w:p>
    <w:p w14:paraId="07561D46" w14:textId="25EE5F59" w:rsidR="009F587A" w:rsidRDefault="009F587A" w:rsidP="009F587A">
      <w:r>
        <w:t xml:space="preserve">XX. Público-alvo: descrever a quem o FIDC se destina, bem como descrever, obrigatoriamente, quais necessidades o FIDC visa a atender; </w:t>
      </w:r>
    </w:p>
    <w:p w14:paraId="5B09FEBD" w14:textId="0FE21861" w:rsidR="009F587A" w:rsidRDefault="009F587A" w:rsidP="009F587A">
      <w:r>
        <w:t xml:space="preserve">XXI. Regras de movimentação: indicar, obrigatoriamente, carências e procedimentos de aplicação e resgate, bem como indicar onde o cotista poderá obter as informações referentes a valores de movimentação; </w:t>
      </w:r>
    </w:p>
    <w:p w14:paraId="756B2E1B" w14:textId="4DB76673" w:rsidR="009F587A" w:rsidRDefault="009F587A" w:rsidP="009F587A">
      <w:r>
        <w:t xml:space="preserve">XXII. Política de distribuição de resultados e amortização, se aplicável: informar, obrigatoriamente, prazos e condições de pagamento; </w:t>
      </w:r>
    </w:p>
    <w:p w14:paraId="1A497441" w14:textId="3FFFA706" w:rsidR="009F587A" w:rsidRDefault="009F587A" w:rsidP="009F587A">
      <w:r>
        <w:t xml:space="preserve">XXIII. Taxas: informar os valores da taxa de administração e a taxa de performance, quando for o caso, de ingresso e saída ou outra taxa que venha a ser cobrada pela indústria de FIDC, especificando a forma de apropriação e pagamento; </w:t>
      </w:r>
    </w:p>
    <w:p w14:paraId="31BD7FFC" w14:textId="22AC1DCB" w:rsidR="009F587A" w:rsidRDefault="009F587A" w:rsidP="009F587A">
      <w:r>
        <w:t>XXIV. Breve histórico do Administrador Fiduciário, do Gestor de Recursos, do custodiante e do consultor, se houver;</w:t>
      </w:r>
    </w:p>
    <w:p w14:paraId="343054F5" w14:textId="10E45561" w:rsidR="009F587A" w:rsidRDefault="009F587A" w:rsidP="009F587A">
      <w:r>
        <w:t xml:space="preserve"> XXV. Regras de tributação aplicáveis ao FIDC e aos investidores na data do prospecto; </w:t>
      </w:r>
    </w:p>
    <w:p w14:paraId="2BD210A6" w14:textId="674D05CC" w:rsidR="009F587A" w:rsidRDefault="009F587A" w:rsidP="009F587A">
      <w:r>
        <w:t xml:space="preserve">XXVI. Atendimento ao investidor: especificar, obrigatoriamente, onde os investidores podem obter o regulamento, o histórico de performance, eventuais informações adicionais ou fazer reclamações e sugestões sobre o FIDC; </w:t>
      </w:r>
    </w:p>
    <w:p w14:paraId="7FA2D94A" w14:textId="30F5F88D" w:rsidR="009F587A" w:rsidRDefault="009F587A" w:rsidP="009F587A">
      <w:r>
        <w:t>XXVII. Política de exercício de direito de voto em assembleias: em conformidade com o disposto no capítulo VIII deste anexo;</w:t>
      </w:r>
    </w:p>
    <w:p w14:paraId="5F2EEF98" w14:textId="606F82B3" w:rsidR="009F587A" w:rsidRDefault="009F587A" w:rsidP="009F587A">
      <w:r>
        <w:t xml:space="preserve"> XXVIII. Descrição das características da oferta: prover informações relevantes sobre a oferta, incluindo prazos, preços de subscrição e integralização, quantidade de cotas, valor mínimo de investimento, entre outros;</w:t>
      </w:r>
    </w:p>
    <w:p w14:paraId="792C9BD4" w14:textId="6DBF56BD" w:rsidR="009F587A" w:rsidRDefault="009F587A" w:rsidP="009F587A">
      <w:r>
        <w:t xml:space="preserve">XXIX. Características da cessão: descrever, detalhadamente, as características da Cessão dos Direitos Creditórios ao FIDC, destacando, mas não se limitando, a: </w:t>
      </w:r>
    </w:p>
    <w:p w14:paraId="539901B8" w14:textId="1565483B" w:rsidR="009F587A" w:rsidRDefault="009F587A" w:rsidP="009F587A">
      <w:r>
        <w:t>i. esclarecimento acerca do caráter definitivo, ou não, da cessão;</w:t>
      </w:r>
    </w:p>
    <w:p w14:paraId="508C3272" w14:textId="12FD2AF2" w:rsidR="009F587A" w:rsidRDefault="009F587A" w:rsidP="009F587A">
      <w:r>
        <w:t xml:space="preserve"> ii. mecanismo de fixação da taxa de desconto a ser aplicada no momento da aquisição dos Direitos Creditórios; </w:t>
      </w:r>
    </w:p>
    <w:p w14:paraId="725C9091" w14:textId="6990A964" w:rsidR="009F587A" w:rsidRDefault="009F587A" w:rsidP="009F587A">
      <w:r>
        <w:t>iii. procedimento para registro dos documentos da cessão em cartório(s), quando aplicável;</w:t>
      </w:r>
    </w:p>
    <w:p w14:paraId="3081BEC2" w14:textId="2026FE79" w:rsidR="009F587A" w:rsidRDefault="009F587A" w:rsidP="009F587A">
      <w:r>
        <w:t xml:space="preserve"> iv. procedimento para notificação da cessão aos devedores, quando aplicável; </w:t>
      </w:r>
    </w:p>
    <w:p w14:paraId="51DF11D9" w14:textId="3FEA7212" w:rsidR="009F587A" w:rsidRDefault="009F587A" w:rsidP="009F587A">
      <w:r>
        <w:t xml:space="preserve">XXX. Política de análise, concessão de crédito e eventual constituição de garantias: apresentar, para os Direitos Creditórios originados por um mesmo Conglomerado ou Grupo Econômico que isoladamente ou em conjunto representem mais de 10% (dez por cento) da carteira do FIDC, descrição dos procedimentos e da política utilizada para a análise e concessão de crédito por parte do originador dos Direitos Creditórios, assim como a existência de eventuais garantias e forma de sua recomposição; </w:t>
      </w:r>
    </w:p>
    <w:p w14:paraId="6088B1A6" w14:textId="4FE5DA09" w:rsidR="009F587A" w:rsidRDefault="009F587A" w:rsidP="009F587A">
      <w:r>
        <w:lastRenderedPageBreak/>
        <w:t xml:space="preserve">XXXI. Critérios de elegibilidade e condições de cessão: apresentar as condições a serem satisfeitas a fim de que os Direitos Creditórios sejam elegíveis para compor a carteira do FIDC e a periodicidade da verificação, se houver; </w:t>
      </w:r>
    </w:p>
    <w:p w14:paraId="5B3130C3" w14:textId="06FDC11B" w:rsidR="009F587A" w:rsidRDefault="009F587A" w:rsidP="009F587A">
      <w:r>
        <w:t xml:space="preserve">XXXII. Metodologias: descrever ou fazer referência no site na internet onde possa ser encontrada a metodologia de avaliação e precificação de ativos e a metodologia de apuração da provisão para perdas por redução no valor recuperável dos Direitos Creditórios integrantes das carteiras do FIDC; </w:t>
      </w:r>
    </w:p>
    <w:p w14:paraId="72411DD8" w14:textId="1A0683DF" w:rsidR="009F587A" w:rsidRDefault="009F587A" w:rsidP="009F587A">
      <w:r>
        <w:t xml:space="preserve">XXXIII. Cobrança: detalhar o mecanismo de cobrança bancária, extrajudicial e judicial dos Direitos Creditórios e os prestadores de serviços envolvidos, esclarecendo, inclusive, os procedimentos previstos em situações especiais que envolvam inadimplência dos Direitos Creditórios; </w:t>
      </w:r>
    </w:p>
    <w:p w14:paraId="21DC3AB3" w14:textId="051F3A26" w:rsidR="009F587A" w:rsidRDefault="009F587A" w:rsidP="009F587A">
      <w:r>
        <w:t>XXXIV. Informações sobre os sacados: informar os padrões históricos de inadimplência na carteira de Direitos Creditórios, concentração e características dos sacados, ressaltando prazos de vencimento e volumes mínimo e máximo dos Direitos Creditórios e outras informações sobre os Direitos Creditórios, tais como prazo médio e aging da carteira (idade da carteira) - destacar as informações históricas e que não há garantias de que a carteira de Direitos Creditórios adquirida para o FIDC apresente características (perfil e performance) semelhantes ao histórico apresentado;</w:t>
      </w:r>
    </w:p>
    <w:p w14:paraId="4991393C" w14:textId="5BA9333B" w:rsidR="009F587A" w:rsidRDefault="009F587A" w:rsidP="009F587A">
      <w:r>
        <w:t xml:space="preserve"> XXXV. Informações detalhadas do originador: descrever o setor de atuação do originador, seu histórico, produtos, matérias-primas, processo produtivo, análise financeira e outros fatores de ordem micro/macroeconômica, financeira ou legal, que possam impactar na geração de Direitos Creditórios;</w:t>
      </w:r>
    </w:p>
    <w:p w14:paraId="2EB4D66F" w14:textId="33A4FDCB" w:rsidR="009F587A" w:rsidRDefault="009F587A" w:rsidP="009F587A">
      <w:r>
        <w:t xml:space="preserve">XXXVI. Relacionamento entre as partes: descrever o relacionamento entre as partes evidenciando os potenciais conflitos de interesse, em especial no processo de originação, consultoria especializada, distribuição, custódia, cobrança, Gestão de Recursos de Terceiros e Administração Fiduciária do FIDC; </w:t>
      </w:r>
    </w:p>
    <w:p w14:paraId="2C6A9799" w14:textId="131BFC26" w:rsidR="009F587A" w:rsidRDefault="009F587A" w:rsidP="009F587A">
      <w:r>
        <w:t xml:space="preserve">XXXVII. Conflito de interesses: descrever a quem compete apreciar, discutir e/ou deliberar matérias sobre as quais haja situação de potencial conflito de interesses; </w:t>
      </w:r>
    </w:p>
    <w:p w14:paraId="7C2330D5" w14:textId="50DEEC4C" w:rsidR="009F587A" w:rsidRDefault="009F587A" w:rsidP="009F587A">
      <w:r>
        <w:t>XXXVIII. Sumário dos contratos: incluir sumário dos contratos firmados pelo FIDC e de outros contratos firmados entre as partes envolvidas e que afetem de forma relevante as operações do FIDC;</w:t>
      </w:r>
    </w:p>
    <w:p w14:paraId="66282327" w14:textId="6E912254" w:rsidR="009F587A" w:rsidRDefault="009F587A" w:rsidP="009F587A">
      <w:r>
        <w:t xml:space="preserve"> XXXIX. Metodologia do cálculo do valor das cotas com relação ao benchmark das séries e/ou classes de cotas no que se refere a possíveis provisões de perdas e reversões: descrever, de forma clara, como serão realizados os eventos entre as diferentes séries e/ou classes de cotas considerando o efeito da marca d’água, quando houver; </w:t>
      </w:r>
    </w:p>
    <w:p w14:paraId="30DF86E0" w14:textId="0F1D3544" w:rsidR="009F587A" w:rsidRDefault="009F587A" w:rsidP="009F587A">
      <w:r>
        <w:t>XL. Critérios e metodologias de verificação do lastro, bem como guarda dos documentos que comprovem o lastro;</w:t>
      </w:r>
    </w:p>
    <w:p w14:paraId="3C9E7789" w14:textId="432081D4" w:rsidR="009F587A" w:rsidRDefault="009F587A" w:rsidP="009F587A">
      <w:r>
        <w:t xml:space="preserve"> XLI. Critérios e metodologias de verificação da condição de cessão: descrever a metodologia de verificação da condição de cessão e indicar, se for o caso, quando esta atividade for exercida por um prestador de serviço; </w:t>
      </w:r>
    </w:p>
    <w:p w14:paraId="480DF412" w14:textId="51218CA3" w:rsidR="009F587A" w:rsidRDefault="009F587A" w:rsidP="009F587A">
      <w:r>
        <w:lastRenderedPageBreak/>
        <w:t>XLII. Ordem de alocação de recursos e prioridades de pagamento: descrever a ordem e a prioridade em que os recursos disponíveis serão alocados para o atendimento de amortizações e resgates de cada classe de cotas, despesas, reservas e demais obrigações do FIDC.</w:t>
      </w:r>
    </w:p>
    <w:p w14:paraId="2AD58895" w14:textId="56E2255F" w:rsidR="009F587A" w:rsidRDefault="009F587A" w:rsidP="009F587A">
      <w:r>
        <w:t>Os FIDC constituídos sob a forma de condomínio aberto devem incluir na capa, na contracapa ou na primeira página de seus prospectos, aviso com o seguinte teor: “Este fundo apresenta risco de liquidez associado às características dos seus ativos e às regras estabelecidas para a solicitação e liquidação de resgates</w:t>
      </w:r>
    </w:p>
    <w:p w14:paraId="6F079924" w14:textId="3CC094FD" w:rsidR="009F587A" w:rsidRDefault="009F587A" w:rsidP="009F587A">
      <w:r>
        <w:t>Os FIDC que permitirem a aquisição de Direitos Creditórios de múltiplos Cedentes e/ou múltiplos sacados devem incluir na capa, na contracapa ou na primeira página de seus prospectos, aviso com o seguinte teor: “Este fundo pode investir em carteira de direitos creditórios diversificada, com natureza e características distintas. Desta forma, o desempenho da carteira pode apresentar variação de comportamento ao longo da existência do fundo.</w:t>
      </w:r>
    </w:p>
    <w:p w14:paraId="1B93AF33" w14:textId="588A90CE" w:rsidR="009F587A" w:rsidRDefault="009F587A" w:rsidP="009F587A">
      <w:r>
        <w:t>Os FIDC identificados com o atributo de recuperação, conforme Diretriz ANBIMA de Classificação de FIDC, devem incluir na capa, na contracapa ou na primeira página de seus prospectos aviso com o seguinte teor: “Este fundo pode adquirir direitos creditórios em atraso (vencidos e não pagos) e o seu desempenho estará vinculado à capacidade de recuperação desses créditos ao longo do tempo.</w:t>
      </w:r>
    </w:p>
    <w:p w14:paraId="380FA6DF" w14:textId="58F560AC" w:rsidR="009F587A" w:rsidRDefault="009F587A" w:rsidP="009F587A">
      <w:r>
        <w:t xml:space="preserve">Informativo Mensal do FIDC </w:t>
      </w:r>
    </w:p>
    <w:p w14:paraId="4264C3F7" w14:textId="76B6AC1A" w:rsidR="009F587A" w:rsidRDefault="009F587A" w:rsidP="009F587A">
      <w:r>
        <w:t>O Administrador Fiduciário deve disponibilizar, mensalmente, em sua página na internet, informativo mensal do FIDC contendo, no mínimo:</w:t>
      </w:r>
    </w:p>
    <w:p w14:paraId="660AEC3C" w14:textId="5D8948B2" w:rsidR="009F587A" w:rsidRDefault="009F587A" w:rsidP="009F587A">
      <w:r>
        <w:t>I. Características gerais:</w:t>
      </w:r>
    </w:p>
    <w:p w14:paraId="747432DF" w14:textId="0FE19E79" w:rsidR="009F587A" w:rsidRDefault="009F587A" w:rsidP="009F587A">
      <w:r>
        <w:t>i. Denominação do FIDC;</w:t>
      </w:r>
    </w:p>
    <w:p w14:paraId="661B8397" w14:textId="4ABB5611" w:rsidR="009F587A" w:rsidRDefault="009F587A" w:rsidP="009F587A">
      <w:r>
        <w:t>ii. CNPJ;</w:t>
      </w:r>
    </w:p>
    <w:p w14:paraId="7443C227" w14:textId="0EF0E62F" w:rsidR="009F587A" w:rsidRDefault="009F587A" w:rsidP="009F587A">
      <w:r>
        <w:t>iii. Classificação do FIDC, conforme Diretriz ANBIMA de Classificação de FIDC;</w:t>
      </w:r>
    </w:p>
    <w:p w14:paraId="46C4E279" w14:textId="40080692" w:rsidR="009F587A" w:rsidRDefault="009F587A" w:rsidP="009F587A">
      <w:r>
        <w:t>iv. Objetivo/política de investimento;</w:t>
      </w:r>
    </w:p>
    <w:p w14:paraId="18C79D27" w14:textId="324FF21D" w:rsidR="009F587A" w:rsidRDefault="009F587A" w:rsidP="009F587A">
      <w:r>
        <w:t>v. Público-alvo;</w:t>
      </w:r>
    </w:p>
    <w:p w14:paraId="2BE4848D" w14:textId="36DF5F18" w:rsidR="009F587A" w:rsidRDefault="009F587A" w:rsidP="009F587A">
      <w:r>
        <w:t>vi. Administrador Fiduciário;</w:t>
      </w:r>
    </w:p>
    <w:p w14:paraId="25085E59" w14:textId="35F5EF05" w:rsidR="009F587A" w:rsidRDefault="009F587A" w:rsidP="009F587A">
      <w:r>
        <w:t>vii. Custodiante;</w:t>
      </w:r>
    </w:p>
    <w:p w14:paraId="3450A57A" w14:textId="76E7217A" w:rsidR="009F587A" w:rsidRDefault="009F587A" w:rsidP="009F587A">
      <w:r>
        <w:t>viii. Gestor de Recursos;</w:t>
      </w:r>
    </w:p>
    <w:p w14:paraId="48BF8989" w14:textId="50C37EDF" w:rsidR="009F587A" w:rsidRDefault="009F587A" w:rsidP="009F587A">
      <w:r>
        <w:t>ix. Consultoria de crédito, se houver;</w:t>
      </w:r>
    </w:p>
    <w:p w14:paraId="2B231E76" w14:textId="1BFC37D0" w:rsidR="009F587A" w:rsidRDefault="009F587A" w:rsidP="009F587A">
      <w:r>
        <w:t>x. Agente de cobrança, se houver;</w:t>
      </w:r>
    </w:p>
    <w:p w14:paraId="2A41F1C6" w14:textId="2CA1A855" w:rsidR="009F587A" w:rsidRDefault="009F587A" w:rsidP="009F587A">
      <w:r>
        <w:t>xi. Auditor;</w:t>
      </w:r>
    </w:p>
    <w:p w14:paraId="72AC7CA7" w14:textId="38A4FD99" w:rsidR="009F587A" w:rsidRDefault="009F587A" w:rsidP="009F587A">
      <w:r>
        <w:t>xii. Formador de mercado (Market Maker), se houver;</w:t>
      </w:r>
    </w:p>
    <w:p w14:paraId="007D168A" w14:textId="2024A39A" w:rsidR="009F587A" w:rsidRDefault="009F587A" w:rsidP="009F587A">
      <w:r>
        <w:t>xiii. Taxa de administração e de performance;</w:t>
      </w:r>
    </w:p>
    <w:p w14:paraId="11B4031D" w14:textId="1880CC27" w:rsidR="009F587A" w:rsidRDefault="009F587A" w:rsidP="009F587A">
      <w:r>
        <w:t>xiv. Forma de condomínio (fechado/aberto);</w:t>
      </w:r>
    </w:p>
    <w:p w14:paraId="0262F274" w14:textId="4A96DBF3" w:rsidR="009F587A" w:rsidRDefault="009F587A" w:rsidP="009F587A">
      <w:r>
        <w:t>xv. Código B3 de cada uma das séries/classes e cotas, se houver;</w:t>
      </w:r>
    </w:p>
    <w:p w14:paraId="4A39DC58" w14:textId="44213FBC" w:rsidR="009F587A" w:rsidRDefault="009F587A" w:rsidP="009F587A">
      <w:r>
        <w:lastRenderedPageBreak/>
        <w:t>xvi. Código ISIN (International Securities Identification Number) de cada uma das séries/classes e cotas, se houver;</w:t>
      </w:r>
    </w:p>
    <w:p w14:paraId="7235CA5D" w14:textId="0B5CE1D8" w:rsidR="009F587A" w:rsidRDefault="009F587A" w:rsidP="009F587A">
      <w:r>
        <w:t>xvii. Data de início do FIDC.</w:t>
      </w:r>
    </w:p>
    <w:p w14:paraId="0815F3CD" w14:textId="4D88922F" w:rsidR="009F587A" w:rsidRDefault="009F587A" w:rsidP="009F587A">
      <w:r>
        <w:t>II. Características da classe sênior:</w:t>
      </w:r>
    </w:p>
    <w:p w14:paraId="4730FDCD" w14:textId="170247C8" w:rsidR="009F587A" w:rsidRDefault="009F587A" w:rsidP="009F587A">
      <w:r>
        <w:t>i. Início da classe/série;</w:t>
      </w:r>
    </w:p>
    <w:p w14:paraId="461D4F1F" w14:textId="00BABD71" w:rsidR="009F587A" w:rsidRDefault="009F587A" w:rsidP="009F587A">
      <w:r>
        <w:t>ii. Número da série;</w:t>
      </w:r>
    </w:p>
    <w:p w14:paraId="29BE8B14" w14:textId="2C096D81" w:rsidR="009F587A" w:rsidRDefault="009F587A" w:rsidP="009F587A">
      <w:r>
        <w:t>iii. Prazo de duração da classe/série;</w:t>
      </w:r>
    </w:p>
    <w:p w14:paraId="6E04465D" w14:textId="5B06B98E" w:rsidR="009F587A" w:rsidRDefault="009F587A" w:rsidP="009F587A">
      <w:r>
        <w:t>iv. Duration (na data de publicação do informativo de que trata o caput);</w:t>
      </w:r>
    </w:p>
    <w:p w14:paraId="34289F8F" w14:textId="1DA05F16" w:rsidR="009F587A" w:rsidRDefault="009F587A" w:rsidP="009F587A">
      <w:r>
        <w:t>v. Aplicação mínima da classe/série;</w:t>
      </w:r>
    </w:p>
    <w:p w14:paraId="1CA4F942" w14:textId="6BC2721B" w:rsidR="009F587A" w:rsidRDefault="009F587A" w:rsidP="009F587A">
      <w:r>
        <w:t>vi. Amortizações programadas da classe/série;</w:t>
      </w:r>
    </w:p>
    <w:p w14:paraId="61553F0E" w14:textId="2C6C8A69" w:rsidR="009F587A" w:rsidRDefault="009F587A" w:rsidP="009F587A">
      <w:r>
        <w:t>vii. Remuneração-alvo da classe/série;</w:t>
      </w:r>
    </w:p>
    <w:p w14:paraId="06D0162F" w14:textId="269CE323" w:rsidR="009F587A" w:rsidRDefault="009F587A" w:rsidP="009F587A">
      <w:r>
        <w:t>viii. Remuneração mensal obtida;</w:t>
      </w:r>
    </w:p>
    <w:p w14:paraId="42A88454" w14:textId="3624389E" w:rsidR="009F587A" w:rsidRDefault="009F587A" w:rsidP="009F587A">
      <w:r>
        <w:t>ix. Rating na emissão;</w:t>
      </w:r>
    </w:p>
    <w:p w14:paraId="72DBE9D6" w14:textId="097705BF" w:rsidR="009F587A" w:rsidRDefault="009F587A" w:rsidP="009F587A">
      <w:r>
        <w:t>x. Agência de rating contratada;</w:t>
      </w:r>
    </w:p>
    <w:p w14:paraId="08D4158C" w14:textId="53C6B768" w:rsidR="009F587A" w:rsidRDefault="009F587A" w:rsidP="009F587A">
      <w:r>
        <w:t>xi. Nota da última classificação de rating obtida;</w:t>
      </w:r>
    </w:p>
    <w:p w14:paraId="250112F7" w14:textId="2FC28074" w:rsidR="009F587A" w:rsidRDefault="009F587A" w:rsidP="009F587A">
      <w:r>
        <w:t>xii. Data da classificação de rating obtida.</w:t>
      </w:r>
    </w:p>
    <w:p w14:paraId="26CDB921" w14:textId="11882A11" w:rsidR="009F587A" w:rsidRDefault="009F587A" w:rsidP="009F587A">
      <w:r>
        <w:t>III. Direitos Creditórios e carteira:</w:t>
      </w:r>
    </w:p>
    <w:p w14:paraId="7381E676" w14:textId="7870916E" w:rsidR="009F587A" w:rsidRDefault="009F587A" w:rsidP="009F587A">
      <w:r>
        <w:t>i. Nome e segmento do Cedente, se monocedente;</w:t>
      </w:r>
    </w:p>
    <w:p w14:paraId="3584A714" w14:textId="3957CD6D" w:rsidR="009F587A" w:rsidRDefault="009F587A" w:rsidP="009F587A">
      <w:r>
        <w:t>ii. Nome e segmento do sacado, se monossacado.</w:t>
      </w:r>
    </w:p>
    <w:p w14:paraId="578EF093" w14:textId="386943B8" w:rsidR="009F587A" w:rsidRDefault="009F587A" w:rsidP="009F587A">
      <w:r>
        <w:t>IV. Informações patrimoniais, índices e eventos relevantes:</w:t>
      </w:r>
    </w:p>
    <w:p w14:paraId="7BEE198B" w14:textId="36C18071" w:rsidR="009F587A" w:rsidRDefault="009F587A" w:rsidP="009F587A">
      <w:r>
        <w:t>i. Patrimônio Líquido de cada uma das séries de cotas seniores;</w:t>
      </w:r>
    </w:p>
    <w:p w14:paraId="3941EA7F" w14:textId="519E08B9" w:rsidR="009F587A" w:rsidRDefault="009F587A" w:rsidP="009F587A">
      <w:r>
        <w:t>ii. Patrimônio Líquido de cada uma das classes de cotas subordinadas;</w:t>
      </w:r>
    </w:p>
    <w:p w14:paraId="650EC6BC" w14:textId="65B45141" w:rsidR="009F587A" w:rsidRDefault="009F587A" w:rsidP="009F587A">
      <w:r>
        <w:t>iii. Patrimônio Líquido do FIDC;</w:t>
      </w:r>
    </w:p>
    <w:p w14:paraId="0AAA7422" w14:textId="23B80569" w:rsidR="009F587A" w:rsidRDefault="009F587A" w:rsidP="009F587A">
      <w:r>
        <w:t>iv. Relação de subordinação mínima;</w:t>
      </w:r>
    </w:p>
    <w:p w14:paraId="56F10FAF" w14:textId="640CAB66" w:rsidR="009F587A" w:rsidRDefault="009F587A" w:rsidP="009F587A">
      <w:r>
        <w:t>v. Relação de subordinação atual;</w:t>
      </w:r>
    </w:p>
    <w:p w14:paraId="30674E78" w14:textId="551863C3" w:rsidR="009F587A" w:rsidRDefault="009F587A" w:rsidP="009F587A">
      <w:r>
        <w:t>vi. Desempenho histórico;</w:t>
      </w:r>
    </w:p>
    <w:p w14:paraId="7C00C846" w14:textId="4F53FC8E" w:rsidR="009F587A" w:rsidRDefault="009F587A" w:rsidP="009F587A">
      <w:r>
        <w:t>vii. Créditos vencidos e não pagos (% PL);</w:t>
      </w:r>
    </w:p>
    <w:p w14:paraId="18EAB94E" w14:textId="0C5260B0" w:rsidR="009F587A" w:rsidRDefault="009F587A" w:rsidP="009F587A">
      <w:r>
        <w:t>viii. Provisão de devedores duvidosos (% PL);</w:t>
      </w:r>
    </w:p>
    <w:p w14:paraId="77406B33" w14:textId="33A2EC5C" w:rsidR="009F587A" w:rsidRDefault="009F587A" w:rsidP="009F587A">
      <w:r>
        <w:t>ix. Outros índices relevantes;</w:t>
      </w:r>
    </w:p>
    <w:p w14:paraId="08066983" w14:textId="107A01C7" w:rsidR="009F587A" w:rsidRDefault="009F587A" w:rsidP="009F587A">
      <w:r>
        <w:t>x. Eventos de avaliação em curso, se houver;</w:t>
      </w:r>
    </w:p>
    <w:p w14:paraId="2141B820" w14:textId="40D397F9" w:rsidR="009F587A" w:rsidRDefault="009F587A" w:rsidP="009F587A">
      <w:r>
        <w:t>xi. Eventos de liquidação em curso, se houver.</w:t>
      </w:r>
    </w:p>
    <w:p w14:paraId="534F18F4" w14:textId="5F61AA6A" w:rsidR="009F587A" w:rsidRDefault="009F587A" w:rsidP="009F587A">
      <w:r>
        <w:lastRenderedPageBreak/>
        <w:t>V. Informações adicionais: estruturas de garantias, riscos de concentração e revolvência, se houver.</w:t>
      </w:r>
    </w:p>
    <w:p w14:paraId="06B7C4D6" w14:textId="6EA08DA2" w:rsidR="009F587A" w:rsidRDefault="009F587A" w:rsidP="009F587A">
      <w:r>
        <w:t>As informações sobre o patrimônio do fundo e remuneração devem contemplar o histórico dos últimos vinte e quatro meses</w:t>
      </w:r>
    </w:p>
    <w:p w14:paraId="4BCA9F94" w14:textId="7AAD8A53" w:rsidR="009F587A" w:rsidRDefault="009F587A" w:rsidP="009F587A">
      <w:r>
        <w:t xml:space="preserve">Classificação do FIDC </w:t>
      </w:r>
    </w:p>
    <w:p w14:paraId="64C60974" w14:textId="338B1B92" w:rsidR="009F587A" w:rsidRDefault="009F587A" w:rsidP="009F587A">
      <w:r>
        <w:t>O FIDC deve ser classificado de acordo com seus objetivos, políticas de investimento e composição da carteira.</w:t>
      </w:r>
    </w:p>
    <w:p w14:paraId="7E623FB9" w14:textId="4985817E" w:rsidR="009F587A" w:rsidRDefault="009F587A" w:rsidP="009F587A">
      <w:r>
        <w:t>A classificação do FIDC na ANBIMA tem como objetivo separar e identificar os FIDC conforme suas estratégias e principais fatores de risco.</w:t>
      </w:r>
    </w:p>
    <w:p w14:paraId="45AE8060" w14:textId="1013252A" w:rsidR="009F587A" w:rsidRDefault="009F587A" w:rsidP="009F587A">
      <w:r>
        <w:t>Cabe ao Conselho de Regulação e Melhores Práticas expedir diretrizes que devem ser observadas pelas Instituições Participantes no que se refere à classificação ANBIMA do FIDC.</w:t>
      </w:r>
    </w:p>
    <w:p w14:paraId="0AF01937" w14:textId="3DCD8279" w:rsidR="009F587A" w:rsidRDefault="009F587A" w:rsidP="009F587A">
      <w:r>
        <w:t xml:space="preserve">FIP - Fundo de Investimentos em Participações </w:t>
      </w:r>
    </w:p>
    <w:p w14:paraId="0CFCEDBD" w14:textId="21C59252" w:rsidR="009F587A" w:rsidRDefault="009F587A" w:rsidP="009F587A">
      <w:r>
        <w:t>O Fundo de Investimento em Participações (FIP) é uma comunhão de recursos, como todos os outros fundos de investimento. A diferença é que estes recursos são destinados à aplicação em companhias abertas, fechadas ou sociedades limitadas em fase de desenvolvimento</w:t>
      </w:r>
    </w:p>
    <w:p w14:paraId="53EA4B2A" w14:textId="4AD3E38D" w:rsidR="009F587A" w:rsidRDefault="009F587A" w:rsidP="009F587A">
      <w:r>
        <w:t>O FIP é um investimento em renda variável constituído sob a forma de condomínio fechado, em que as cotas somente são resgatadas ao término de sua duração ou quando é deliberado em assembleia de cotistas a sua liquidação. Cabe ao administrador constituir o fundo e realizar o processo de captação de recursos junto aos investidores através da venda de cotas</w:t>
      </w:r>
    </w:p>
    <w:p w14:paraId="1D2C9E59" w14:textId="25911B5F" w:rsidR="009F587A" w:rsidRDefault="009F587A" w:rsidP="009F587A">
      <w:r>
        <w:t>Este tipo de fundo deverá participar do processo decisório da companhia investida, com efetiva influência na definição de sua política estratégica e na sua gestão, através da indicação de membros do Conselho de Administração.</w:t>
      </w:r>
    </w:p>
    <w:p w14:paraId="0C20C450" w14:textId="1A9A1E82" w:rsidR="009F587A" w:rsidRDefault="009F587A" w:rsidP="009F587A">
      <w:r>
        <w:t xml:space="preserve">A participação do fundo no processo decisório da companhia investida pode ocorrer: </w:t>
      </w:r>
    </w:p>
    <w:p w14:paraId="11C69B5D" w14:textId="3053D188" w:rsidR="009F587A" w:rsidRDefault="009F587A" w:rsidP="009F587A">
      <w:r>
        <w:rPr>
          <w:rFonts w:ascii="Segoe UI Symbol" w:hAnsi="Segoe UI Symbol" w:cs="Segoe UI Symbol"/>
        </w:rPr>
        <w:t>⯀</w:t>
      </w:r>
      <w:r>
        <w:t xml:space="preserve"> pela detenção de ações que integrem o respectivo bloco de controle; </w:t>
      </w:r>
    </w:p>
    <w:p w14:paraId="2645B89F" w14:textId="53DF15CA" w:rsidR="009F587A" w:rsidRDefault="009F587A" w:rsidP="009F587A">
      <w:r>
        <w:rPr>
          <w:rFonts w:ascii="Segoe UI Symbol" w:hAnsi="Segoe UI Symbol" w:cs="Segoe UI Symbol"/>
        </w:rPr>
        <w:t>⯀</w:t>
      </w:r>
      <w:r>
        <w:t xml:space="preserve"> pela celebração de acordo de acionistas; ou </w:t>
      </w:r>
    </w:p>
    <w:p w14:paraId="329B4615" w14:textId="0C3B23F5" w:rsidR="009F587A" w:rsidRDefault="009F587A" w:rsidP="009F587A">
      <w:r>
        <w:rPr>
          <w:rFonts w:ascii="Segoe UI Symbol" w:hAnsi="Segoe UI Symbol" w:cs="Segoe UI Symbol"/>
        </w:rPr>
        <w:t>⯀</w:t>
      </w:r>
      <w:r>
        <w:t xml:space="preserve"> pela adoção de procedimento que assegure ao fundo efetiva influência na definição de sua política estratégica e na sua gestão</w:t>
      </w:r>
    </w:p>
    <w:p w14:paraId="64FF2D31" w14:textId="5D11BAE1" w:rsidR="009F587A" w:rsidRDefault="009F587A" w:rsidP="009F587A">
      <w:r>
        <w:t xml:space="preserve"> Tributação em FIPE</w:t>
      </w:r>
    </w:p>
    <w:p w14:paraId="362ED1EA" w14:textId="15684AFE" w:rsidR="009F587A" w:rsidRDefault="009F587A" w:rsidP="009F587A">
      <w:r>
        <w:t>A tributação nesse fundo obedece a regra da renda variável, tendo, portanto, alíquota única de 15% cobrada somente no resgate.</w:t>
      </w:r>
    </w:p>
    <w:p w14:paraId="6BCB29D8" w14:textId="44994812" w:rsidR="00E856B4" w:rsidRDefault="009F587A" w:rsidP="009F587A">
      <w:r>
        <w:t>Pronto, cobrimos todo assunto do módulo 5. Vamos agora treinar um pouco seu conhecimento.</w:t>
      </w:r>
    </w:p>
    <w:p w14:paraId="476EA6D1" w14:textId="0576C4A3" w:rsidR="009F587A" w:rsidRDefault="009F587A" w:rsidP="009F587A">
      <w:r>
        <w:rPr>
          <w:noProof/>
        </w:rPr>
        <w:lastRenderedPageBreak/>
        <w:drawing>
          <wp:inline distT="0" distB="0" distL="0" distR="0" wp14:anchorId="076529D2" wp14:editId="7647C7ED">
            <wp:extent cx="5400040" cy="3714115"/>
            <wp:effectExtent l="0" t="0" r="0" b="63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3714115"/>
                    </a:xfrm>
                    <a:prstGeom prst="rect">
                      <a:avLst/>
                    </a:prstGeom>
                    <a:noFill/>
                    <a:ln>
                      <a:noFill/>
                    </a:ln>
                  </pic:spPr>
                </pic:pic>
              </a:graphicData>
            </a:graphic>
          </wp:inline>
        </w:drawing>
      </w:r>
    </w:p>
    <w:p w14:paraId="38624CAD" w14:textId="4211C467" w:rsidR="009F587A" w:rsidRDefault="00006C6F" w:rsidP="009F587A">
      <w:r w:rsidRPr="00006C6F">
        <w:t>Tributação dos Fundos de Investimento</w:t>
      </w:r>
    </w:p>
    <w:p w14:paraId="08DC35D8" w14:textId="7CA6EB9F" w:rsidR="00006C6F" w:rsidRDefault="00006C6F" w:rsidP="00006C6F">
      <w:r>
        <w:t>TRIBUTAÇÃO</w:t>
      </w:r>
    </w:p>
    <w:p w14:paraId="3C0077E6" w14:textId="5C9C8BAA" w:rsidR="00006C6F" w:rsidRDefault="00006C6F" w:rsidP="00006C6F">
      <w:r>
        <w:t xml:space="preserve"> Como era de se esperar, em Fundos de Investimentos também temos tributação. Para você que já entendeu como funciona a tabela de Renda Fixa, esse tópico vai ficar bem simples</w:t>
      </w:r>
    </w:p>
    <w:p w14:paraId="3F991B36" w14:textId="1016DC54" w:rsidR="00006C6F" w:rsidRDefault="00006C6F" w:rsidP="00006C6F">
      <w:r>
        <w:t>Já sabemos que os Fundos de Investimentos abertos não têm vencimento (o que vence são os ativos que compõem a carteira do fundo e serão substituídos pelo gestor a medida em que vencem ou precisam ser negociados no mercado). Por não ter vencimento, o investidor pode ficar o tempo que quiser em um fundo. Acontece que se o IR for cobrado somente no resgate, pode haver uma inconsistência entre o IR do título (que compõe a carteira) e o IR devido do investidor.</w:t>
      </w:r>
    </w:p>
    <w:p w14:paraId="28AB30F0" w14:textId="3C0E6A75" w:rsidR="00006C6F" w:rsidRDefault="00006C6F" w:rsidP="00006C6F">
      <w:r>
        <w:t>Para evitar essa distorção, a Receita Federal criou o sistema de antecipação semestral de IR que acontece nos últimos dias úteis dos meses de maio e novembro: o popularmente conhecido “come cotas”. Em outras palavras, o Fundo de Investimento recolhe IR da valorização das cotas a cada 6 meses, independente do resgate.</w:t>
      </w:r>
    </w:p>
    <w:p w14:paraId="5B1301F0" w14:textId="0B89AF15" w:rsidR="00006C6F" w:rsidRDefault="00006C6F" w:rsidP="00006C6F">
      <w:r>
        <w:t xml:space="preserve">As regras para a tributação “come cotas” são as seguintes: </w:t>
      </w:r>
    </w:p>
    <w:p w14:paraId="06C5AE32" w14:textId="580F437A" w:rsidR="00006C6F" w:rsidRDefault="00006C6F" w:rsidP="00006C6F">
      <w:r>
        <w:rPr>
          <w:rFonts w:ascii="Segoe UI Symbol" w:hAnsi="Segoe UI Symbol" w:cs="Segoe UI Symbol"/>
        </w:rPr>
        <w:t>⯀</w:t>
      </w:r>
      <w:r>
        <w:t xml:space="preserve"> será cobrada sempre nos últimos dias úteis de maio e novembro; </w:t>
      </w:r>
    </w:p>
    <w:p w14:paraId="07C2CC59" w14:textId="6D41ACA9" w:rsidR="00006C6F" w:rsidRDefault="00006C6F" w:rsidP="00006C6F">
      <w:r>
        <w:rPr>
          <w:rFonts w:ascii="Segoe UI Symbol" w:hAnsi="Segoe UI Symbol" w:cs="Segoe UI Symbol"/>
        </w:rPr>
        <w:t>⯀</w:t>
      </w:r>
      <w:r>
        <w:t xml:space="preserve"> será cobrada SEMPRE uma alíquota fixa (fundo curto prazo 20% e fundo de longo prazo 15%);</w:t>
      </w:r>
    </w:p>
    <w:p w14:paraId="6D93A739" w14:textId="53D613CA" w:rsidR="00006C6F" w:rsidRDefault="00006C6F" w:rsidP="00006C6F">
      <w:r>
        <w:rPr>
          <w:rFonts w:ascii="Segoe UI Symbol" w:hAnsi="Segoe UI Symbol" w:cs="Segoe UI Symbol"/>
        </w:rPr>
        <w:t>⯀</w:t>
      </w:r>
      <w:r>
        <w:t xml:space="preserve"> o prazo de permanência do investidor não altera a alíquota do come cotas; </w:t>
      </w:r>
    </w:p>
    <w:p w14:paraId="459041CF" w14:textId="00ABA498" w:rsidR="00006C6F" w:rsidRDefault="00006C6F" w:rsidP="00006C6F">
      <w:r>
        <w:rPr>
          <w:rFonts w:ascii="Segoe UI Symbol" w:hAnsi="Segoe UI Symbol" w:cs="Segoe UI Symbol"/>
        </w:rPr>
        <w:t>⯀</w:t>
      </w:r>
      <w:r>
        <w:t xml:space="preserve"> recolhida pelo administrador do fundo.</w:t>
      </w:r>
    </w:p>
    <w:p w14:paraId="17AF1BF5" w14:textId="75956E0B" w:rsidR="00006C6F" w:rsidRDefault="00006C6F" w:rsidP="00006C6F">
      <w:r>
        <w:t>Tabela regressiva</w:t>
      </w:r>
    </w:p>
    <w:p w14:paraId="58CC37BD" w14:textId="59719607" w:rsidR="00006C6F" w:rsidRDefault="00006C6F" w:rsidP="00006C6F">
      <w:r>
        <w:lastRenderedPageBreak/>
        <w:t>Assim como vimos nos instrumentos de renda fixa, aqui se utiliza a tabela regressiva de IR, porém essa tabela aplica-se somente no resgate e considera o que fora antecipado no come cotas. Portanto, o IR total devido de um fundo de investimento (exceto fundo de ações) será de acordo com a Tabela Regressiva e o tempo de permanência do investidor, mas observando a antecipação do come cotas.</w:t>
      </w:r>
    </w:p>
    <w:p w14:paraId="1DCB3170" w14:textId="540B881D" w:rsidR="00006C6F" w:rsidRDefault="00006C6F" w:rsidP="00006C6F">
      <w:r>
        <w:t xml:space="preserve">Um bom exemplo é a situação a seguir: </w:t>
      </w:r>
    </w:p>
    <w:p w14:paraId="4F6B5973" w14:textId="4710369A" w:rsidR="00006C6F" w:rsidRDefault="00006C6F" w:rsidP="00006C6F">
      <w:r>
        <w:t>Imagine um investidor que comprou 100 cotas de um fundo de investimento de longo prazo no dia 02 de janeiro deste ano por R$ 10,00 cada e vendeu no dia 10 de junho do mesmo ano por R$ 12,00 cada. No dia 31/05 (último dia útil de maio) a cota estava valendo R$ 11,00</w:t>
      </w:r>
    </w:p>
    <w:p w14:paraId="714788E2" w14:textId="71C743DE" w:rsidR="00006C6F" w:rsidRDefault="00006C6F" w:rsidP="00006C6F">
      <w:r>
        <w:t xml:space="preserve">O que temos aqui: </w:t>
      </w:r>
    </w:p>
    <w:p w14:paraId="2812569B" w14:textId="493AD9ED" w:rsidR="00006C6F" w:rsidRDefault="00006C6F" w:rsidP="00006C6F">
      <w:r>
        <w:rPr>
          <w:rFonts w:ascii="Segoe UI Symbol" w:hAnsi="Segoe UI Symbol" w:cs="Segoe UI Symbol"/>
        </w:rPr>
        <w:t>⯀</w:t>
      </w:r>
      <w:r>
        <w:t xml:space="preserve"> prazo do investimento 159 dias; </w:t>
      </w:r>
    </w:p>
    <w:p w14:paraId="78F890C8" w14:textId="21515BC8" w:rsidR="00006C6F" w:rsidRDefault="00006C6F" w:rsidP="00006C6F">
      <w:r>
        <w:rPr>
          <w:rFonts w:ascii="Segoe UI Symbol" w:hAnsi="Segoe UI Symbol" w:cs="Segoe UI Symbol"/>
        </w:rPr>
        <w:t>⯀</w:t>
      </w:r>
      <w:r>
        <w:t xml:space="preserve"> valor da aplicação R$ 10,00/cota; </w:t>
      </w:r>
    </w:p>
    <w:p w14:paraId="4421FEFD" w14:textId="14DDF01E" w:rsidR="00006C6F" w:rsidRDefault="00006C6F" w:rsidP="00006C6F">
      <w:r>
        <w:rPr>
          <w:rFonts w:ascii="Segoe UI Symbol" w:hAnsi="Segoe UI Symbol" w:cs="Segoe UI Symbol"/>
        </w:rPr>
        <w:t>⯀</w:t>
      </w:r>
      <w:r>
        <w:t xml:space="preserve"> valor do resgate R$ 12,00/cota; </w:t>
      </w:r>
    </w:p>
    <w:p w14:paraId="1D027099" w14:textId="3D4B8299" w:rsidR="00006C6F" w:rsidRDefault="00006C6F" w:rsidP="00006C6F">
      <w:r>
        <w:rPr>
          <w:rFonts w:ascii="Segoe UI Symbol" w:hAnsi="Segoe UI Symbol" w:cs="Segoe UI Symbol"/>
        </w:rPr>
        <w:t>⯀</w:t>
      </w:r>
      <w:r>
        <w:t xml:space="preserve"> valorização 20%; </w:t>
      </w:r>
    </w:p>
    <w:p w14:paraId="68CA8CB7" w14:textId="048395A3" w:rsidR="00006C6F" w:rsidRDefault="00006C6F" w:rsidP="00006C6F">
      <w:r>
        <w:rPr>
          <w:rFonts w:ascii="Segoe UI Symbol" w:hAnsi="Segoe UI Symbol" w:cs="Segoe UI Symbol"/>
        </w:rPr>
        <w:t>⯀</w:t>
      </w:r>
      <w:r>
        <w:t xml:space="preserve"> IR devido de acordo com a tabela 22,5%</w:t>
      </w:r>
    </w:p>
    <w:p w14:paraId="3CFD41D0" w14:textId="542C29C6" w:rsidR="00006C6F" w:rsidRDefault="00006C6F" w:rsidP="00006C6F">
      <w:r>
        <w:t xml:space="preserve">Vejamos a dinâmica de recolhimento de IR: </w:t>
      </w:r>
    </w:p>
    <w:p w14:paraId="5FBB236C" w14:textId="17FCB158" w:rsidR="00006C6F" w:rsidRDefault="00006C6F" w:rsidP="00006C6F">
      <w:r>
        <w:t xml:space="preserve"> momento da aplicação: 10 reais por cota; </w:t>
      </w:r>
    </w:p>
    <w:p w14:paraId="359D34B8" w14:textId="4559902C" w:rsidR="00006C6F" w:rsidRDefault="00006C6F" w:rsidP="00006C6F">
      <w:r>
        <w:rPr>
          <w:rFonts w:ascii="Segoe UI Symbol" w:hAnsi="Segoe UI Symbol" w:cs="Segoe UI Symbol"/>
        </w:rPr>
        <w:t>⯀</w:t>
      </w:r>
      <w:r>
        <w:t xml:space="preserve"> dia do come cotas: 11 reais por cota; </w:t>
      </w:r>
    </w:p>
    <w:p w14:paraId="6BBBC63D" w14:textId="7F0386DC" w:rsidR="00006C6F" w:rsidRDefault="00006C6F" w:rsidP="00006C6F">
      <w:r>
        <w:rPr>
          <w:rFonts w:ascii="Segoe UI Symbol" w:hAnsi="Segoe UI Symbol" w:cs="Segoe UI Symbol"/>
        </w:rPr>
        <w:t>⯀</w:t>
      </w:r>
      <w:r>
        <w:t xml:space="preserve"> rendimento por cota no dia do come cotas: 1 real por cota;</w:t>
      </w:r>
    </w:p>
    <w:p w14:paraId="280CC5BB" w14:textId="5C9298FA" w:rsidR="00006C6F" w:rsidRDefault="00006C6F" w:rsidP="00006C6F">
      <w:r>
        <w:rPr>
          <w:rFonts w:ascii="Segoe UI Symbol" w:hAnsi="Segoe UI Symbol" w:cs="Segoe UI Symbol"/>
        </w:rPr>
        <w:t>⯀</w:t>
      </w:r>
      <w:r>
        <w:t xml:space="preserve"> IR devido no come cotas: 15% sobre o rendimento, ou seja, 15% sobre 1 real, que equivale a 0,15 centavos; </w:t>
      </w:r>
    </w:p>
    <w:p w14:paraId="61C3AE10" w14:textId="2EB122D9" w:rsidR="00006C6F" w:rsidRDefault="00006C6F" w:rsidP="00006C6F">
      <w:r>
        <w:rPr>
          <w:rFonts w:ascii="Segoe UI Symbol" w:hAnsi="Segoe UI Symbol" w:cs="Segoe UI Symbol"/>
        </w:rPr>
        <w:t>⯀</w:t>
      </w:r>
      <w:r>
        <w:t xml:space="preserve"> dia do resgate: 12 reais por cota;</w:t>
      </w:r>
    </w:p>
    <w:p w14:paraId="3EDB7C93" w14:textId="4E9113CB" w:rsidR="00006C6F" w:rsidRDefault="00006C6F" w:rsidP="00006C6F">
      <w:r>
        <w:t xml:space="preserve"> </w:t>
      </w:r>
      <w:r>
        <w:rPr>
          <w:rFonts w:ascii="Segoe UI Symbol" w:hAnsi="Segoe UI Symbol" w:cs="Segoe UI Symbol"/>
        </w:rPr>
        <w:t>⯀</w:t>
      </w:r>
      <w:r>
        <w:t xml:space="preserve"> IR devido sobre o total da aplicação: 22,5% sobre o rendimento, pois o prazo de permanência é menor que 180 dias. Ou seja, 22,5% sobre 2 reais, que equivale a 0,45 centavos por cota; </w:t>
      </w:r>
    </w:p>
    <w:p w14:paraId="0B282ACC" w14:textId="2013399F" w:rsidR="00006C6F" w:rsidRDefault="00006C6F" w:rsidP="00006C6F">
      <w:r>
        <w:rPr>
          <w:rFonts w:ascii="Segoe UI Symbol" w:hAnsi="Segoe UI Symbol" w:cs="Segoe UI Symbol"/>
        </w:rPr>
        <w:t>⯀</w:t>
      </w:r>
      <w:r>
        <w:t xml:space="preserve"> IR a recolher no resgate: 0,30 centavos por cota, pois deve-se deduzir o que fora antecipado no come cotas.</w:t>
      </w:r>
    </w:p>
    <w:p w14:paraId="2539FBF3" w14:textId="61DE1688" w:rsidR="00006C6F" w:rsidRDefault="00006C6F" w:rsidP="00006C6F">
      <w:r>
        <w:t>Na hora do resgate, devemos verificar o prazo de permanência do investidor no fundo e aplicar a alíquota conforme a Tabela Regressiva de IR e descontar o que fora antecipado no come cotas</w:t>
      </w:r>
    </w:p>
    <w:p w14:paraId="19AD7A08" w14:textId="4AE22CD0" w:rsidR="00006C6F" w:rsidRDefault="00006C6F" w:rsidP="00006C6F">
      <w:r>
        <w:t xml:space="preserve">Informações importantes: </w:t>
      </w:r>
    </w:p>
    <w:p w14:paraId="41BDF755" w14:textId="4CB15A4D" w:rsidR="00006C6F" w:rsidRDefault="00006C6F" w:rsidP="00006C6F">
      <w:r>
        <w:t xml:space="preserve">Fundos de curto prazo terão como alíquota mínima 20% independente do prazo de permanência do investidor, portanto as únicas alíquotas possíveis em um fundo de curto prazo são 22,5% e 20%. </w:t>
      </w:r>
    </w:p>
    <w:p w14:paraId="6864988E" w14:textId="1C9656EA" w:rsidR="00006C6F" w:rsidRDefault="00006C6F" w:rsidP="00006C6F">
      <w:r>
        <w:t xml:space="preserve">O Fundo de Investimento em ações não tem come cotas e tem alíquota única, cobrada somente no resgate a alíquota de 15%. Já o fundo de investimento com carência de até 90 dias </w:t>
      </w:r>
      <w:r>
        <w:lastRenderedPageBreak/>
        <w:t>terá o come cotas cobrado não nos meses de maio e novembro, mas no vencimento de cada carência</w:t>
      </w:r>
    </w:p>
    <w:p w14:paraId="2C150B54" w14:textId="53325345" w:rsidR="00006C6F" w:rsidRDefault="00006C6F" w:rsidP="00006C6F">
      <w:r>
        <w:t xml:space="preserve">IOF </w:t>
      </w:r>
    </w:p>
    <w:p w14:paraId="14240D2A" w14:textId="5778DFE6" w:rsidR="00006C6F" w:rsidRDefault="00006C6F" w:rsidP="00006C6F">
      <w:r>
        <w:t xml:space="preserve">Além do IR, os fundos de investimentos estão sujeitos a tributação de IOF nos seguintes casos: </w:t>
      </w:r>
    </w:p>
    <w:p w14:paraId="668A57DC" w14:textId="2E32371B" w:rsidR="00006C6F" w:rsidRDefault="00006C6F" w:rsidP="00006C6F">
      <w:r>
        <w:rPr>
          <w:rFonts w:ascii="Segoe UI Symbol" w:hAnsi="Segoe UI Symbol" w:cs="Segoe UI Symbol"/>
        </w:rPr>
        <w:t>⯀</w:t>
      </w:r>
      <w:r>
        <w:t xml:space="preserve"> fundo  fundos de renda fixa, cambial e multimercados estão sujeitos ao IOF de acordo com a Tabela Regressiva desse imposto, sendo cobrado somente em caso de resgates com prazo menor ou igual a 29 dias; </w:t>
      </w:r>
    </w:p>
    <w:p w14:paraId="587CE62E" w14:textId="3242227F" w:rsidR="00006C6F" w:rsidRDefault="00006C6F" w:rsidP="00006C6F">
      <w:r>
        <w:rPr>
          <w:rFonts w:ascii="Segoe UI Symbol" w:hAnsi="Segoe UI Symbol" w:cs="Segoe UI Symbol"/>
        </w:rPr>
        <w:t>⯀</w:t>
      </w:r>
      <w:r>
        <w:t xml:space="preserve"> fundo com carência tem alíquota de 0,5% ao dia de IOF caso o investidor resgate antes do vencimento da carência. Essa alíquota é cobrada sobre todo o valor de resgate e é limitada a 100% do ganho nominal do investidor.</w:t>
      </w:r>
    </w:p>
    <w:p w14:paraId="2A24061A" w14:textId="1494F9DC" w:rsidR="00006C6F" w:rsidRDefault="00006C6F" w:rsidP="00006C6F">
      <w:r>
        <w:t xml:space="preserve">Compensação de Perdas </w:t>
      </w:r>
    </w:p>
    <w:p w14:paraId="136C3025" w14:textId="13E007B9" w:rsidR="00006C6F" w:rsidRDefault="00006C6F" w:rsidP="00006C6F">
      <w:r>
        <w:t>Imagine uma situação em que o investidor, ao invés de ganhar dinheiro com seu investimento, registre uma perda. Nos fundos, o investidor pode compensar perdas em um investimento futuro.</w:t>
      </w:r>
    </w:p>
    <w:p w14:paraId="17A5252E" w14:textId="2B130628" w:rsidR="00006C6F" w:rsidRDefault="00006C6F" w:rsidP="00006C6F">
      <w:r>
        <w:t xml:space="preserve"> Quando o investidor aplica em vários fundos do mesmo administrador, a perda realizada em um fundo pode ser utilizada para abater o rendimento que será́ tributado em outro, desde que os fundos tenham a mesma classificação (exemplo: “Fundos de Longo Prazo” só podem compensar prejuízos de outro “Fundo de Longo prazo”; “Fundos de Ações” só podem compensar “Fundos de Ações”).</w:t>
      </w:r>
    </w:p>
    <w:p w14:paraId="3EA87D1C" w14:textId="5B50037C" w:rsidR="00006C6F" w:rsidRDefault="00006C6F" w:rsidP="00006C6F">
      <w:r>
        <w:t>O administrador, aliás, não é obrigado a oferecer essa compensação. Porém, sua capacidade de oferecê-la ao cliente é uma vantagem competitiva. A perda de um fundo somente pode ser utilizada para compensar lucros futuros após a ocorrência do resgate do fundo com prejuízo.</w:t>
      </w:r>
    </w:p>
    <w:p w14:paraId="38DE9367" w14:textId="72C69391" w:rsidR="00006C6F" w:rsidRDefault="00006C6F" w:rsidP="00006C6F">
      <w:r>
        <w:rPr>
          <w:noProof/>
        </w:rPr>
        <w:drawing>
          <wp:inline distT="0" distB="0" distL="0" distR="0" wp14:anchorId="041B1938" wp14:editId="3B087D7A">
            <wp:extent cx="5400040" cy="2457450"/>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00040" cy="2457450"/>
                    </a:xfrm>
                    <a:prstGeom prst="rect">
                      <a:avLst/>
                    </a:prstGeom>
                    <a:noFill/>
                    <a:ln>
                      <a:noFill/>
                    </a:ln>
                  </pic:spPr>
                </pic:pic>
              </a:graphicData>
            </a:graphic>
          </wp:inline>
        </w:drawing>
      </w:r>
    </w:p>
    <w:p w14:paraId="1670C59F" w14:textId="77777777" w:rsidR="004740A1" w:rsidRDefault="004740A1" w:rsidP="00006C6F"/>
    <w:p w14:paraId="40187A0C" w14:textId="77777777" w:rsidR="004740A1" w:rsidRDefault="004740A1" w:rsidP="00006C6F"/>
    <w:p w14:paraId="04C52BB0" w14:textId="77777777" w:rsidR="004740A1" w:rsidRDefault="004740A1" w:rsidP="00006C6F"/>
    <w:p w14:paraId="2C717E5E" w14:textId="77777777" w:rsidR="004740A1" w:rsidRDefault="004740A1" w:rsidP="00006C6F"/>
    <w:p w14:paraId="2213998E" w14:textId="77777777" w:rsidR="004740A1" w:rsidRDefault="004740A1" w:rsidP="00006C6F"/>
    <w:p w14:paraId="47181E6E" w14:textId="1909A535" w:rsidR="00006C6F" w:rsidRDefault="004740A1" w:rsidP="00006C6F">
      <w:r w:rsidRPr="004740A1">
        <w:lastRenderedPageBreak/>
        <w:t>Fator Gerador do Imposto e Responsabilidade do Recolhimento</w:t>
      </w:r>
    </w:p>
    <w:p w14:paraId="733E7F73" w14:textId="64F69202" w:rsidR="004740A1" w:rsidRDefault="004740A1" w:rsidP="004740A1">
      <w:r>
        <w:t>APLICAÇÃO E RECOLHIMENTO DE IR:</w:t>
      </w:r>
    </w:p>
    <w:p w14:paraId="52ECD31E" w14:textId="144B7976" w:rsidR="004740A1" w:rsidRDefault="004740A1" w:rsidP="004740A1">
      <w:r>
        <w:t>A aplicação de IR ocorre quando a aplicação é resgatada e incide sobre os rendimentos produzidos por aplicações em fundos de investimento. O valor do IR varia de acordo com cada tipo de FI e em função do prazo da aplicação também.</w:t>
      </w:r>
    </w:p>
    <w:p w14:paraId="6812FB3B" w14:textId="2E7F4E94" w:rsidR="004740A1" w:rsidRDefault="004740A1" w:rsidP="004740A1">
      <w:r>
        <w:t>Quanto mais o cotista ficar com o recurso aplicado, menor será a alíquota de IR que precisará pagar, exceto em fundos de ações, pois a alíquota será sempre de 15% no resgate.</w:t>
      </w:r>
    </w:p>
    <w:p w14:paraId="2B82B770" w14:textId="64F662C6" w:rsidR="004740A1" w:rsidRDefault="004740A1" w:rsidP="004740A1">
      <w:r>
        <w:t>A administradora fundo que é responsável pelo recolhimento de IR.</w:t>
      </w:r>
    </w:p>
    <w:p w14:paraId="0AD3A214" w14:textId="5B382C0E" w:rsidR="004740A1" w:rsidRDefault="004740A1" w:rsidP="004740A1">
      <w:r>
        <w:t>A Receita Federal classifica os fundos em 3 tipos para fins de recolhimento de IR:</w:t>
      </w:r>
    </w:p>
    <w:p w14:paraId="73FD865F" w14:textId="77777777" w:rsidR="004740A1" w:rsidRDefault="004740A1" w:rsidP="004740A1">
      <w:r>
        <w:t>Fundos de Curto Prazo: sua carteira de títulos possui prazo médio igual ou inferior a 365 dias.</w:t>
      </w:r>
    </w:p>
    <w:p w14:paraId="6018D1B0" w14:textId="77777777" w:rsidR="004740A1" w:rsidRDefault="004740A1" w:rsidP="004740A1">
      <w:r>
        <w:t>Fundos de Longo Prazo: sua carteira de títulos possui prazo médio igual ou superior a 365 dias.</w:t>
      </w:r>
    </w:p>
    <w:p w14:paraId="2F02967B" w14:textId="624C441F" w:rsidR="004740A1" w:rsidRDefault="004740A1" w:rsidP="004740A1">
      <w:r>
        <w:t>Fundos de Ações: sua carteira possui no mínimo 67% dos recursos aplicados em ações negociadas em Bolsa de Valores.</w:t>
      </w:r>
    </w:p>
    <w:p w14:paraId="22DE3A98" w14:textId="4DE7F0F5" w:rsidR="004740A1" w:rsidRDefault="004740A1" w:rsidP="004740A1">
      <w:r>
        <w:rPr>
          <w:noProof/>
        </w:rPr>
        <w:drawing>
          <wp:inline distT="0" distB="0" distL="0" distR="0" wp14:anchorId="698BF538" wp14:editId="4B47C88C">
            <wp:extent cx="5391150" cy="3552825"/>
            <wp:effectExtent l="0" t="0" r="0" b="952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1150" cy="3552825"/>
                    </a:xfrm>
                    <a:prstGeom prst="rect">
                      <a:avLst/>
                    </a:prstGeom>
                    <a:noFill/>
                    <a:ln>
                      <a:noFill/>
                    </a:ln>
                  </pic:spPr>
                </pic:pic>
              </a:graphicData>
            </a:graphic>
          </wp:inline>
        </w:drawing>
      </w:r>
    </w:p>
    <w:p w14:paraId="12EAAD51" w14:textId="5F84561D" w:rsidR="004740A1" w:rsidRDefault="004740A1" w:rsidP="004740A1">
      <w:r>
        <w:t>Importante: Fundos de Longo Prazo tem vantagem tributária sobre os Fundos de Curto prazo, para cotistas que mantêm capital investido mais de dois anos. Alíquota cai para 15% do rendimento.</w:t>
      </w:r>
    </w:p>
    <w:p w14:paraId="5007A530" w14:textId="77777777" w:rsidR="004740A1" w:rsidRDefault="004740A1" w:rsidP="004740A1">
      <w:r>
        <w:t>Nos Fundos de Investimentos com tributação de curto prazo e de longo prazo, a base de cálculo do imposto é a variação positiva entre o valor resgatado e o valor de aplicação ou o valor na data da última cobrança do come-cotas.</w:t>
      </w:r>
    </w:p>
    <w:p w14:paraId="5058F515" w14:textId="77777777" w:rsidR="004740A1" w:rsidRDefault="004740A1" w:rsidP="004740A1"/>
    <w:p w14:paraId="5613C8A2" w14:textId="3E35246E" w:rsidR="004740A1" w:rsidRDefault="004740A1" w:rsidP="004740A1">
      <w:r>
        <w:lastRenderedPageBreak/>
        <w:t>Para Fundos de Ações, a alíquota única de IR é de 15%, independente do período do investimento. O IR será cobrado sobre o rendimento bruto do fundo, quando ocorrer o resgate. A base de cálculo é a diferença positiva entre o valor de resgate e o valor investido inicialmente.</w:t>
      </w:r>
    </w:p>
    <w:p w14:paraId="17C353A0" w14:textId="4EC14F01" w:rsidR="0079079C" w:rsidRDefault="0079079C" w:rsidP="004740A1">
      <w:r>
        <w:rPr>
          <w:noProof/>
        </w:rPr>
        <w:drawing>
          <wp:inline distT="0" distB="0" distL="0" distR="0" wp14:anchorId="50AF584E" wp14:editId="08C7D2C3">
            <wp:extent cx="5400040" cy="2400300"/>
            <wp:effectExtent l="0" t="0" r="0" b="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00040" cy="2400300"/>
                    </a:xfrm>
                    <a:prstGeom prst="rect">
                      <a:avLst/>
                    </a:prstGeom>
                    <a:noFill/>
                    <a:ln>
                      <a:noFill/>
                    </a:ln>
                  </pic:spPr>
                </pic:pic>
              </a:graphicData>
            </a:graphic>
          </wp:inline>
        </w:drawing>
      </w:r>
    </w:p>
    <w:p w14:paraId="65EC7A33" w14:textId="3E1BFB3D" w:rsidR="00990C37" w:rsidRDefault="00990C37" w:rsidP="00990C37">
      <w:r>
        <w:t>Classificação ANBIMA</w:t>
      </w:r>
    </w:p>
    <w:p w14:paraId="22121463" w14:textId="5E1DF3B9" w:rsidR="00990C37" w:rsidRDefault="00990C37" w:rsidP="00990C37">
      <w:r>
        <w:t>A gente já sabe que a ANBIMA é um órgão de autorregulação e que tem como principal função trazer mais qualidade de informações aos investidores. Para ajudar na tomada de decisão de investimento, foi criada uma classificação de Fundos de Investimentos que complementa a classificação CVM.</w:t>
      </w:r>
    </w:p>
    <w:p w14:paraId="129A94FF" w14:textId="4AC76296" w:rsidR="00990C37" w:rsidRDefault="00990C37" w:rsidP="00990C37">
      <w:r>
        <w:t>Esta classificação separa os Fundos de Investimentos de acordo com a classe de ativos, níveis de risco e estratégia. Esse agrupamento facilita a comparação de performance entre os diferentes fundos e auxilia o processo de decisão de investimento, além de contribuir para aumentar a transparência do mercado.</w:t>
      </w:r>
    </w:p>
    <w:p w14:paraId="34B18065" w14:textId="2F181AC2" w:rsidR="00990C37" w:rsidRDefault="00990C37" w:rsidP="00990C37">
      <w:r>
        <w:t xml:space="preserve">O objetivo é explicitar, em cada nível, as estratégias e riscos associados a cada um dos Fundos de Investimentos disponíveis no mercado. A escolha feita no primeiro nível leva a uma determinada direção no segundo nível e assim por diante. </w:t>
      </w:r>
    </w:p>
    <w:p w14:paraId="040D5C0D" w14:textId="01BCE8F2" w:rsidR="00990C37" w:rsidRDefault="00990C37" w:rsidP="00990C37">
      <w:r>
        <w:t>Determinada hierarquia cria um caminho que ajuda a orientar a decisão e conduz a um maior alinhamento entre os anseios do investidor, suas restrições e seu apetite ao risco, e os produtos disponíveis para ele.</w:t>
      </w:r>
    </w:p>
    <w:p w14:paraId="4BBEBCD6" w14:textId="47414C47" w:rsidR="00990C37" w:rsidRDefault="00990C37" w:rsidP="00990C37">
      <w:r>
        <w:t>Vamos entender um pouco melhor cada um dos níveis da classificação para, então, entender cada tipo de fundo:</w:t>
      </w:r>
    </w:p>
    <w:p w14:paraId="340393DF" w14:textId="106B5C34" w:rsidR="00990C37" w:rsidRDefault="00990C37" w:rsidP="00990C37">
      <w:r>
        <w:t xml:space="preserve">Nível 1. Classe de ativos: esse nível replica a classificação CVM 555, separando os fundos em Renda Fixa, Cambial, Multimercados e Ações. </w:t>
      </w:r>
    </w:p>
    <w:p w14:paraId="7C19CD86" w14:textId="2D96E210" w:rsidR="00990C37" w:rsidRDefault="00990C37" w:rsidP="00990C37">
      <w:r>
        <w:t xml:space="preserve">Nível 2. Nível de risco: Neste nível, os fundos são classificados conforme o tipo de gestão (passiva ou ativa). Para a gestão ativa, a classificação é desmembrada conforme a sensibilidade à taxa de juros. (Ativos, indexados, investimento no exterior). </w:t>
      </w:r>
    </w:p>
    <w:p w14:paraId="50249912" w14:textId="40B9A90B" w:rsidR="00990C37" w:rsidRDefault="00990C37" w:rsidP="00990C37">
      <w:r>
        <w:t>Nível 3. Estratégia: Neste nível, os fundos são classificados de acordo com a estratégia. Enquadram-se aqui, por exemplo, os fundos soberanos, os fundos dinâmicos e os setoriais, entre outros.</w:t>
      </w:r>
    </w:p>
    <w:p w14:paraId="579933A4" w14:textId="19C1F3FB" w:rsidR="00990C37" w:rsidRDefault="00990C37" w:rsidP="00990C37">
      <w:r>
        <w:lastRenderedPageBreak/>
        <w:t>O ponto aqui é o seguinte: uma vez que o investidor escolhe um fundo de acordo com a classificação CVM, haverá mais detalhes para serem analisados antes da tomada de decisão</w:t>
      </w:r>
    </w:p>
    <w:p w14:paraId="7760012F" w14:textId="7D2F46F4" w:rsidR="00990C37" w:rsidRDefault="00990C37" w:rsidP="00990C37">
      <w:r>
        <w:t>Deixe-me lhe dar um exemplo: imagine que seu cliente chegue a sua mesa e demande um fundo de Renda Fixa. A pergunta é: diante de tantas opções de fundo de Renda Fixa que você tem na prateleira, como saber qual recomendar?</w:t>
      </w:r>
    </w:p>
    <w:p w14:paraId="42D7B7B8" w14:textId="529D721B" w:rsidR="00990C37" w:rsidRDefault="00990C37" w:rsidP="00990C37">
      <w:r>
        <w:t>A classificação ANBIMA ajuda você com isso, pois, de acordo com a necessidade do investidor, você poderá alocar em uma das categorias possíveis.</w:t>
      </w:r>
    </w:p>
    <w:p w14:paraId="3E2A23D3" w14:textId="0A6F49E7" w:rsidR="00990C37" w:rsidRDefault="00990C37" w:rsidP="00990C37">
      <w:r>
        <w:t>Já que eu dei como exemplo uma demanda de Renda Fixa, vamos entender como a ANBIMA classifica os fundos de Renda Fixa e seus respectivos níveis</w:t>
      </w:r>
    </w:p>
    <w:p w14:paraId="1D8D94BB" w14:textId="2D50A8FA" w:rsidR="00990C37" w:rsidRDefault="00990C37" w:rsidP="00990C37">
      <w:r>
        <w:t xml:space="preserve">Fundos de Renda Fixa </w:t>
      </w:r>
    </w:p>
    <w:p w14:paraId="2C5D64B6" w14:textId="550EA159" w:rsidR="00990C37" w:rsidRDefault="00990C37" w:rsidP="00990C37">
      <w:r>
        <w:t>Primeiro Nível: Fundos que buscam retorno por meio de investimentos em ativos de Renda Fixa (são aceitos títulos sintetizados via derivativos), admitindo-se estratégias que impliquem risco de juros e de índice de preços. São admitidos ativos de Renda Fixa emitidos no exterior. Excluem-se estratégias que impliquem exposição em Renda Variável.</w:t>
      </w:r>
    </w:p>
    <w:p w14:paraId="513B930A" w14:textId="6A72D68B" w:rsidR="00990C37" w:rsidRDefault="00990C37" w:rsidP="00990C37">
      <w:r>
        <w:t>Segundo Nível: aqui os fundos são classificados conforme o tipo de gestão (passiva ou ativa). Ainda para a gestão ativa, a classificação é desmembrada conforme a sensibilidade à taxa de juros. Incluem também os fundos de Renda Fixa Simples conforme a Instrução nº 555 da CVM e são classificados da seguinte forma:</w:t>
      </w:r>
    </w:p>
    <w:p w14:paraId="7F96C21C" w14:textId="53E00AE4" w:rsidR="00990C37" w:rsidRDefault="00990C37" w:rsidP="00990C37">
      <w:r>
        <w:rPr>
          <w:rFonts w:ascii="Segoe UI Symbol" w:hAnsi="Segoe UI Symbol" w:cs="Segoe UI Symbol"/>
        </w:rPr>
        <w:t>⯀</w:t>
      </w:r>
      <w:r>
        <w:t xml:space="preserve"> Renda Fixa Simples: estes investem no mínimo 95% de seu PL em títulos públicos federais com baixo risco de mercado;</w:t>
      </w:r>
    </w:p>
    <w:p w14:paraId="36812F12" w14:textId="7182B9C0" w:rsidR="00990C37" w:rsidRDefault="00990C37" w:rsidP="00990C37">
      <w:r>
        <w:rPr>
          <w:rFonts w:ascii="Segoe UI Symbol" w:hAnsi="Segoe UI Symbol" w:cs="Segoe UI Symbol"/>
        </w:rPr>
        <w:t>⯀</w:t>
      </w:r>
      <w:r>
        <w:t xml:space="preserve"> Indexados: fundos que têm como objetivo seguir as variações de indicadores de referência do mercado de Renda Fixa; </w:t>
      </w:r>
    </w:p>
    <w:p w14:paraId="79FAC5CC" w14:textId="3E202045" w:rsidR="00990C37" w:rsidRDefault="00990C37" w:rsidP="00990C37">
      <w:r>
        <w:rPr>
          <w:rFonts w:ascii="Segoe UI Symbol" w:hAnsi="Segoe UI Symbol" w:cs="Segoe UI Symbol"/>
        </w:rPr>
        <w:t>⯀</w:t>
      </w:r>
      <w:r>
        <w:t xml:space="preserve"> Ativos: fundos não classificados nos itens anteriores. Os fundos nesta categoria devem ser classificados conforme a sensibilidade à alterações na taxa de juros (risco de mercado) medida por meio da duration média ponderada da carteira.</w:t>
      </w:r>
    </w:p>
    <w:p w14:paraId="534B0420" w14:textId="4D292292" w:rsidR="00990C37" w:rsidRDefault="00990C37" w:rsidP="00990C37">
      <w:r>
        <w:t xml:space="preserve">i. Duração Baixa (short duration): fundos que objetivam buscar retornos investindo em ativos de renda fixa com duration média ponderada da carteira inferior a 21 dias úteis. Estes fundos buscam minimizar a oscilação nos retornos promovida por alterações nas taxas de juros futuros. Estão nesta categoria também os fundos que buscam retorno investindo em ativos de renda fixa remunerados à taxa flutuante em DI ou Selic. Fundos que possuírem ativos no exterior deverão realizar o hedge cambial (proteção) da parcela investida no exterior. Excluem-se estratégias que impliquem exposição de moeda estrangeira ou de renda variável (ações, etc.); </w:t>
      </w:r>
    </w:p>
    <w:p w14:paraId="5435CC83" w14:textId="46F8AD9C" w:rsidR="00990C37" w:rsidRDefault="00990C37" w:rsidP="00990C37">
      <w:r>
        <w:t>ii. Duração Média (mid duration): fundos que objetivam buscar retornos investindo em ativos de renda fixa com duration média ponderada da carteira inferior ou igual à apurada no IRF-M do último dia útil de junho. Estes fundos buscam limitar oscilação nos retornos decorrentes das alterações nas taxas de juros futuros. Fundos que possuírem ativos no exterior deverão realizar o hedge cambial da parcela investida no exterior. Excluem-se estratégias que impliquem exposição de moeda estrangeira ou de renda variável (ações, etc.);</w:t>
      </w:r>
    </w:p>
    <w:p w14:paraId="5335DAEC" w14:textId="29C98148" w:rsidR="00990C37" w:rsidRDefault="00990C37" w:rsidP="00990C37">
      <w:r>
        <w:t xml:space="preserve"> iii. Duração Alta (long duration): fundos que objetivam buscar retornos investindo em ativos de renda fixa com duration média ponderada da carteira igual ou superior à apurada no IMA-</w:t>
      </w:r>
      <w:r>
        <w:lastRenderedPageBreak/>
        <w:t xml:space="preserve">GERAL do último dia útil de junho. Estes fundos estão sujeitos a maior oscilação nos retornos, promovida por alterações nas taxas de juros futuros. Fundos que possuírem ativos no exterior deverão realizar o hedge cambial da parcela investida no exterior. Excluem-se estratégias que impliquem exposição de moeda estrangeira ou de renda variável (ações, etc.); </w:t>
      </w:r>
    </w:p>
    <w:p w14:paraId="6480563D" w14:textId="32717DED" w:rsidR="00990C37" w:rsidRDefault="00990C37" w:rsidP="00990C37">
      <w:r>
        <w:t>iv. Duração Livre: fundos que objetivam buscar retorno por meio de investimentos em ativos de renda fixa, sem compromisso de manter limites mínimo ou máximo para a duration média ponderada da carteira. O hedge cambial da parcela de ativos no exterior é facultativo ao gestor.</w:t>
      </w:r>
    </w:p>
    <w:p w14:paraId="0D2FA1ED" w14:textId="1B8DCBA0" w:rsidR="00990C37" w:rsidRDefault="00990C37" w:rsidP="00990C37">
      <w:r>
        <w:t xml:space="preserve">Terceiro Nível: neste nível os fundos são classificados conforme a exposição ao risco de crédito. Assim, ao optar, no segundo nível, pela gestão ativa, o investidor tem à disposição os seguintes fundos: </w:t>
      </w:r>
    </w:p>
    <w:p w14:paraId="49242547" w14:textId="06FC63D0" w:rsidR="00990C37" w:rsidRDefault="00990C37" w:rsidP="00990C37">
      <w:r>
        <w:t xml:space="preserve"> </w:t>
      </w:r>
      <w:r>
        <w:rPr>
          <w:rFonts w:ascii="Segoe UI Symbol" w:hAnsi="Segoe UI Symbol" w:cs="Segoe UI Symbol"/>
        </w:rPr>
        <w:t>⯀</w:t>
      </w:r>
      <w:r>
        <w:t xml:space="preserve"> Soberano: fundos que investem 100% em títulos públicos federais do Brasil;</w:t>
      </w:r>
    </w:p>
    <w:p w14:paraId="283AFF86" w14:textId="2267E657" w:rsidR="00990C37" w:rsidRDefault="00990C37" w:rsidP="00990C37">
      <w:r>
        <w:t xml:space="preserve"> </w:t>
      </w:r>
      <w:r>
        <w:rPr>
          <w:rFonts w:ascii="Segoe UI Symbol" w:hAnsi="Segoe UI Symbol" w:cs="Segoe UI Symbol"/>
        </w:rPr>
        <w:t>⯀</w:t>
      </w:r>
      <w:r>
        <w:t xml:space="preserve"> Grau de Investimento: fundos que investem no mínimo 80% da carteira em títulos públicos federais, ativos com baixo risco de crédito do mercado doméstico ou externo, ou sintetizados via derivativos, com registro das câmaras de compensação; </w:t>
      </w:r>
    </w:p>
    <w:p w14:paraId="3C48CC49" w14:textId="1977C25B" w:rsidR="00990C37" w:rsidRDefault="00990C37" w:rsidP="00990C37">
      <w:r>
        <w:rPr>
          <w:rFonts w:ascii="Segoe UI Symbol" w:hAnsi="Segoe UI Symbol" w:cs="Segoe UI Symbol"/>
        </w:rPr>
        <w:t>⯀</w:t>
      </w:r>
      <w:r>
        <w:t xml:space="preserve"> Crédito Livre: fundos que objetivam buscar retorno por meio de investimentos em ativos de renda fixa, podendo manter mais de 20% da sua carteira em títulos de médio e alto risco de crédito do mercado doméstico ou externo.</w:t>
      </w:r>
    </w:p>
    <w:p w14:paraId="42682A21" w14:textId="0CB511C7" w:rsidR="00990C37" w:rsidRDefault="00990C37" w:rsidP="00990C37">
      <w:r>
        <w:t xml:space="preserve">Ao optar, no segundo nível, por investimento no exterior, as opções são as seguintes: </w:t>
      </w:r>
    </w:p>
    <w:p w14:paraId="74B019C6" w14:textId="2F4532A8" w:rsidR="00990C37" w:rsidRDefault="00990C37" w:rsidP="00990C37">
      <w:r>
        <w:rPr>
          <w:rFonts w:ascii="Segoe UI Symbol" w:hAnsi="Segoe UI Symbol" w:cs="Segoe UI Symbol"/>
        </w:rPr>
        <w:t>⯀</w:t>
      </w:r>
      <w:r>
        <w:t xml:space="preserve"> Investimento no Exterior: fundos que investem em ativos financeiros no exterior em parcela superior a 40% do patrimônio líquido; </w:t>
      </w:r>
    </w:p>
    <w:p w14:paraId="132FB101" w14:textId="49286F5E" w:rsidR="00990C37" w:rsidRDefault="00990C37" w:rsidP="00990C37">
      <w:r>
        <w:rPr>
          <w:rFonts w:ascii="Segoe UI Symbol" w:hAnsi="Segoe UI Symbol" w:cs="Segoe UI Symbol"/>
        </w:rPr>
        <w:t>⯀</w:t>
      </w:r>
      <w:r>
        <w:t xml:space="preserve"> Dívida Externa: fundos que investem no mínimo 80% de seu patrimônio líquido em títulos representativos da dívida externa de responsabilidade da União.</w:t>
      </w:r>
    </w:p>
    <w:p w14:paraId="2C077976" w14:textId="28470F73" w:rsidR="00990C37" w:rsidRDefault="00990C37" w:rsidP="00990C37">
      <w:r>
        <w:t>Ao optar, no segundo nível, por simples, a única opção disponível será o fundo de Renda fixa Simples</w:t>
      </w:r>
    </w:p>
    <w:p w14:paraId="5718E32A" w14:textId="49BE6575" w:rsidR="00990C37" w:rsidRDefault="00990C37" w:rsidP="00990C37">
      <w:r>
        <w:t>Ao optar, no segundo nível, por indexado, a única opção disponível será o fundo atrelado ao índice de referência</w:t>
      </w:r>
    </w:p>
    <w:p w14:paraId="6900C6AE" w14:textId="528236BD" w:rsidR="00990C37" w:rsidRDefault="00990C37" w:rsidP="00990C37">
      <w:r>
        <w:t>Vejamos essa tabela que resume os níveis dos fundos de renda fixa:</w:t>
      </w:r>
    </w:p>
    <w:p w14:paraId="687AD9DB" w14:textId="28F437D6" w:rsidR="00990C37" w:rsidRDefault="00990C37" w:rsidP="00990C37">
      <w:r>
        <w:rPr>
          <w:noProof/>
        </w:rPr>
        <w:drawing>
          <wp:inline distT="0" distB="0" distL="0" distR="0" wp14:anchorId="3406F5E4" wp14:editId="36E4026B">
            <wp:extent cx="5400040" cy="1971675"/>
            <wp:effectExtent l="0" t="0" r="0" b="952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1971675"/>
                    </a:xfrm>
                    <a:prstGeom prst="rect">
                      <a:avLst/>
                    </a:prstGeom>
                    <a:noFill/>
                    <a:ln>
                      <a:noFill/>
                    </a:ln>
                  </pic:spPr>
                </pic:pic>
              </a:graphicData>
            </a:graphic>
          </wp:inline>
        </w:drawing>
      </w:r>
    </w:p>
    <w:p w14:paraId="0E86BBA5" w14:textId="77777777" w:rsidR="00990C37" w:rsidRDefault="00990C37" w:rsidP="00990C37"/>
    <w:p w14:paraId="1304CFDD" w14:textId="61D9567F" w:rsidR="00990C37" w:rsidRDefault="00990C37" w:rsidP="00990C37">
      <w:r>
        <w:lastRenderedPageBreak/>
        <w:t>Fundos de Ações</w:t>
      </w:r>
    </w:p>
    <w:p w14:paraId="357CB25B" w14:textId="69D830C2" w:rsidR="00990C37" w:rsidRDefault="00990C37" w:rsidP="00990C37">
      <w:r>
        <w:t>A mesma lógica vale para os fundos de ações, cuja carteira possui, majoritariamente, ativos de renda variável tais como: ações à vista, bônus ou recibos de subscrição, certificados de depósito de ações, dentre outros. Neste caso, o segundo nível identifica o tipo de gestão e os riscos associados a ela. Enquadram-se aqui os fundos indexados, ativos, investimento no exterior e específicos. Vejamos:</w:t>
      </w:r>
    </w:p>
    <w:p w14:paraId="3DE71E78" w14:textId="25D36E86" w:rsidR="00990C37" w:rsidRDefault="00990C37" w:rsidP="00990C37">
      <w:r>
        <w:t>Primeiro Nível: fundos que possuem, no mínimo, 67% da carteira em ações à vista, bônus ou recibos de subscrição, certificados de depósito de ações, cotas de fundos de ações, cotas dos fundos de índice de ações e BDR.</w:t>
      </w:r>
    </w:p>
    <w:p w14:paraId="269122BD" w14:textId="3B43E1AC" w:rsidR="00990C37" w:rsidRDefault="00990C37" w:rsidP="00990C37">
      <w:r>
        <w:t>Segundo Nível: neste nível os fundos são classificados conforme o tipo de gestão (indexada ou ativa), específicos para fundos com características diferenciadas ou investimento no exterior. Conheça cada um deles</w:t>
      </w:r>
    </w:p>
    <w:p w14:paraId="605D3D2C" w14:textId="363558E7" w:rsidR="00990C37" w:rsidRDefault="00990C37" w:rsidP="00990C37">
      <w:r>
        <w:rPr>
          <w:rFonts w:ascii="Segoe UI Symbol" w:hAnsi="Segoe UI Symbol" w:cs="Segoe UI Symbol"/>
        </w:rPr>
        <w:t>⯀</w:t>
      </w:r>
      <w:r>
        <w:t xml:space="preserve">Indexados: fundos que têm como objetivo replicar as variações de indicadores de referência do mercado de renda variável; </w:t>
      </w:r>
    </w:p>
    <w:p w14:paraId="58D58494" w14:textId="37A07275" w:rsidR="00990C37" w:rsidRDefault="00990C37" w:rsidP="00990C37">
      <w:r>
        <w:rPr>
          <w:rFonts w:ascii="Segoe UI Symbol" w:hAnsi="Segoe UI Symbol" w:cs="Segoe UI Symbol"/>
        </w:rPr>
        <w:t>⯀</w:t>
      </w:r>
      <w:r>
        <w:t xml:space="preserve"> Ativos: fundos que têm como objetivo superar um índice de referência ou que não fazem referência a índice algum. A seleção dos ativos para compor a carteira deve ser suportada por um processo de investimento que busca atingir os objetivos e executar a política de investimentos definida para o fundo; </w:t>
      </w:r>
    </w:p>
    <w:p w14:paraId="099E285C" w14:textId="2153B27F" w:rsidR="00990C37" w:rsidRDefault="00990C37" w:rsidP="00990C37">
      <w:r>
        <w:rPr>
          <w:rFonts w:ascii="Segoe UI Symbol" w:hAnsi="Segoe UI Symbol" w:cs="Segoe UI Symbol"/>
        </w:rPr>
        <w:t>⯀</w:t>
      </w:r>
      <w:r>
        <w:t xml:space="preserve"> Específicos: fundos que adotam estratégias de investimento ou possuam características específicas tais como condomínio fechado, não regulamentados pela Instrução nº 555 da CVM, fundos que investem apenas em ações de uma única empresa ou outros que venham a surgir; </w:t>
      </w:r>
    </w:p>
    <w:p w14:paraId="0DE85AD4" w14:textId="22F36A43" w:rsidR="00990C37" w:rsidRDefault="00990C37" w:rsidP="00990C37">
      <w:r>
        <w:rPr>
          <w:rFonts w:ascii="Segoe UI Symbol" w:hAnsi="Segoe UI Symbol" w:cs="Segoe UI Symbol"/>
        </w:rPr>
        <w:t>⯀</w:t>
      </w:r>
      <w:r>
        <w:t xml:space="preserve"> Investimento no Exterior: fundos que investem em ativos financeiros no exterior em parcela superior a 40% do patrimônio líquido. </w:t>
      </w:r>
    </w:p>
    <w:p w14:paraId="32595A08" w14:textId="6F4041B0" w:rsidR="00990C37" w:rsidRDefault="00990C37" w:rsidP="00990C37">
      <w:r>
        <w:t>Terceiro Nível: neste nível os fundos são classificados conforme a estratégia. Ao optar, no segundo nível, pelos fundos indexados, as opções no terceiro nível são os fundos atrelados a índices de referência. :</w:t>
      </w:r>
    </w:p>
    <w:p w14:paraId="2621EB0D" w14:textId="0F24E35E" w:rsidR="00990C37" w:rsidRDefault="00990C37" w:rsidP="00990C37">
      <w:r>
        <w:t xml:space="preserve">Ao optar, no segundo nível, por fundos ativos, as alternativas no terceiro nível se dividem em: </w:t>
      </w:r>
    </w:p>
    <w:p w14:paraId="6D283BD1" w14:textId="6C03779F" w:rsidR="00990C37" w:rsidRDefault="00990C37" w:rsidP="00990C37">
      <w:r>
        <w:rPr>
          <w:rFonts w:ascii="Segoe UI Symbol" w:hAnsi="Segoe UI Symbol" w:cs="Segoe UI Symbol"/>
        </w:rPr>
        <w:t>⯀</w:t>
      </w:r>
      <w:r>
        <w:t xml:space="preserve"> Valor/Crescimento: fundos que buscam retorno por meio da seleção de empresas cujo valor das ações negociadas esteja abaixo do “preço justo” estimado (estratégia valor) e/ou aquelas com histórico e/ou perspectiva de continuar com forte crescimento de lucros, receitas e fluxos de caixa em relação ao mercado (estratégia de crescimento)</w:t>
      </w:r>
    </w:p>
    <w:p w14:paraId="78D67F41" w14:textId="5C10F171" w:rsidR="00990C37" w:rsidRDefault="00990C37" w:rsidP="00990C37">
      <w:r>
        <w:rPr>
          <w:rFonts w:ascii="Segoe UI Symbol" w:hAnsi="Segoe UI Symbol" w:cs="Segoe UI Symbol"/>
        </w:rPr>
        <w:t>⯀</w:t>
      </w:r>
      <w:r>
        <w:t xml:space="preserve"> Setoriais: fundos que investem em empresas pertencentes a um mesmo setor ou conjunto de setores afins da economia. Estes fundos devem explicitar em suas políticas de investimento os critérios utilizados para definição dos setores, sub-setores ou segmentos elegíveis para aplicação;</w:t>
      </w:r>
    </w:p>
    <w:p w14:paraId="57DCCE75" w14:textId="77777777" w:rsidR="00990C37" w:rsidRDefault="00990C37" w:rsidP="00990C37">
      <w:r>
        <w:t xml:space="preserve"> </w:t>
      </w:r>
      <w:r>
        <w:rPr>
          <w:rFonts w:ascii="Segoe UI Symbol" w:hAnsi="Segoe UI Symbol" w:cs="Segoe UI Symbol"/>
        </w:rPr>
        <w:t>⯀</w:t>
      </w:r>
      <w:r>
        <w:t xml:space="preserve"> Dividendos: fundos que investem em ações de empresas com histórico de dividend yield (renda gerada por dividendos) consistente ou que, na visão do gestor, apresentem essas perspectivas;</w:t>
      </w:r>
    </w:p>
    <w:p w14:paraId="4CE9436F" w14:textId="77777777" w:rsidR="00990C37" w:rsidRDefault="00990C37" w:rsidP="00990C37"/>
    <w:p w14:paraId="69E7F9C9" w14:textId="110B5E6F" w:rsidR="00990C37" w:rsidRDefault="00990C37" w:rsidP="00990C37">
      <w:r>
        <w:lastRenderedPageBreak/>
        <w:t xml:space="preserve"> </w:t>
      </w:r>
      <w:r>
        <w:rPr>
          <w:rFonts w:ascii="Segoe UI Symbol" w:hAnsi="Segoe UI Symbol" w:cs="Segoe UI Symbol"/>
        </w:rPr>
        <w:t>⯀</w:t>
      </w:r>
      <w:r>
        <w:t xml:space="preserve"> Small Caps: fundos cuja carteira é composta por, no mínimo, 85% em ações de empresas que não estejam incluídas entre as 25 maiores participações do IBrX - Índice Brasil, ou seja, ações de empresas com relativamente baixa capitalização de mercado. Os 15% remanescentes podem ser investidos em ações de maior liquidez ou capitalização de mercado, desde que não estejam incluídas entre as dez maiores participações do IBrX – Índice Brasil; </w:t>
      </w:r>
    </w:p>
    <w:p w14:paraId="0C633928" w14:textId="7C328EC1" w:rsidR="00990C37" w:rsidRDefault="00990C37" w:rsidP="00990C37">
      <w:r>
        <w:rPr>
          <w:rFonts w:ascii="Segoe UI Symbol" w:hAnsi="Segoe UI Symbol" w:cs="Segoe UI Symbol"/>
        </w:rPr>
        <w:t>⯀</w:t>
      </w:r>
      <w:r>
        <w:t xml:space="preserve"> Sustentabilidade/Governança: fundos que investem em empresas que apresentam bons níveis de governança corporativa, ou que se destacam em responsabilidade social e sustentabilidade empresarial no longo prazo, conforme critérios estabelecidos por entidades amplamente reconhecidas pelo mercado ou supervisionados por conselho não vinculado à gestão do fundo. Estes fundos devem explicitar, em suas políticas de investimento, os critérios utilizados para definição das ações elegíveis. </w:t>
      </w:r>
    </w:p>
    <w:p w14:paraId="3A181FB3" w14:textId="3A9B786D" w:rsidR="00990C37" w:rsidRDefault="00990C37" w:rsidP="00990C37">
      <w:r>
        <w:rPr>
          <w:rFonts w:ascii="Segoe UI Symbol" w:hAnsi="Segoe UI Symbol" w:cs="Segoe UI Symbol"/>
        </w:rPr>
        <w:t>⯀</w:t>
      </w:r>
      <w:r>
        <w:t xml:space="preserve"> Índice Ativo (Indexed Enhanced): fundos que têm como objetivo superar o índice de referência do mercado acionário. Estes fundos se utilizam de deslocamentos táticos em relação à carteira de referência para atingir seu objetivo; </w:t>
      </w:r>
    </w:p>
    <w:p w14:paraId="688E4DD8" w14:textId="7967C03E" w:rsidR="00990C37" w:rsidRDefault="00990C37" w:rsidP="00990C37">
      <w:r>
        <w:rPr>
          <w:rFonts w:ascii="Segoe UI Symbol" w:hAnsi="Segoe UI Symbol" w:cs="Segoe UI Symbol"/>
        </w:rPr>
        <w:t>⯀</w:t>
      </w:r>
      <w:r>
        <w:t xml:space="preserve"> Livre: fundos sem o compromisso de concentração em uma estratégia específica. A parcela em caixa pode ser investida em quaisquer ativos, desde que especificados em regulamento.</w:t>
      </w:r>
    </w:p>
    <w:p w14:paraId="4EB663D7" w14:textId="1C46F1C7" w:rsidR="00990C37" w:rsidRDefault="00990C37" w:rsidP="00990C37">
      <w:r>
        <w:t xml:space="preserve">Ao escolher, no segundo nível, fundos específicos, as opções no terceiro nível são: </w:t>
      </w:r>
    </w:p>
    <w:p w14:paraId="7B7DE7CD" w14:textId="68B61E75" w:rsidR="00990C37" w:rsidRDefault="00990C37" w:rsidP="00990C37">
      <w:r>
        <w:rPr>
          <w:rFonts w:ascii="Segoe UI Symbol" w:hAnsi="Segoe UI Symbol" w:cs="Segoe UI Symbol"/>
        </w:rPr>
        <w:t>⯀</w:t>
      </w:r>
      <w:r>
        <w:t xml:space="preserve"> Fundos Fechados de Ações: fundos de condomínio fechado regulamentados pela Instrução nº 555 da CVM; </w:t>
      </w:r>
    </w:p>
    <w:p w14:paraId="36B8B875" w14:textId="68CAC9BD" w:rsidR="00990C37" w:rsidRDefault="00990C37" w:rsidP="00990C37">
      <w:r>
        <w:rPr>
          <w:rFonts w:ascii="Segoe UI Symbol" w:hAnsi="Segoe UI Symbol" w:cs="Segoe UI Symbol"/>
        </w:rPr>
        <w:t>⯀</w:t>
      </w:r>
      <w:r>
        <w:t xml:space="preserve"> Fundos de Ações FMP-FGTS: fundos que investem o FGTS do trabalhador em privatizações de empresas; </w:t>
      </w:r>
    </w:p>
    <w:p w14:paraId="17FD2338" w14:textId="5EA13067" w:rsidR="00990C37" w:rsidRDefault="00990C37" w:rsidP="00990C37">
      <w:r>
        <w:rPr>
          <w:rFonts w:ascii="Segoe UI Symbol" w:hAnsi="Segoe UI Symbol" w:cs="Segoe UI Symbol"/>
        </w:rPr>
        <w:t>⯀</w:t>
      </w:r>
      <w:r>
        <w:t xml:space="preserve"> Fundos de Mono Ação: fundos com estratégia de investimento em ações de apenas uma empresa.</w:t>
      </w:r>
    </w:p>
    <w:p w14:paraId="3C0ED8B8" w14:textId="2DBB4D11" w:rsidR="00990C37" w:rsidRDefault="00990C37" w:rsidP="00990C37">
      <w:r>
        <w:t>O quadro abaixo resume a classificação ANBIMA para fundos de ações</w:t>
      </w:r>
      <w:r>
        <w:t>:</w:t>
      </w:r>
    </w:p>
    <w:p w14:paraId="0588417F" w14:textId="1C2948C0" w:rsidR="00990C37" w:rsidRDefault="00990C37" w:rsidP="00990C37">
      <w:r>
        <w:rPr>
          <w:noProof/>
        </w:rPr>
        <w:drawing>
          <wp:inline distT="0" distB="0" distL="0" distR="0" wp14:anchorId="24894C18" wp14:editId="3FF1624E">
            <wp:extent cx="5391150" cy="2628900"/>
            <wp:effectExtent l="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2628900"/>
                    </a:xfrm>
                    <a:prstGeom prst="rect">
                      <a:avLst/>
                    </a:prstGeom>
                    <a:noFill/>
                    <a:ln>
                      <a:noFill/>
                    </a:ln>
                  </pic:spPr>
                </pic:pic>
              </a:graphicData>
            </a:graphic>
          </wp:inline>
        </w:drawing>
      </w:r>
    </w:p>
    <w:p w14:paraId="7B4BB9CB" w14:textId="77777777" w:rsidR="00990C37" w:rsidRDefault="00990C37" w:rsidP="00990C37"/>
    <w:p w14:paraId="28D9BC57" w14:textId="77777777" w:rsidR="00990C37" w:rsidRDefault="00990C37" w:rsidP="00990C37"/>
    <w:p w14:paraId="21D8FA76" w14:textId="441B14FF" w:rsidR="00990C37" w:rsidRDefault="00990C37" w:rsidP="00990C37">
      <w:r>
        <w:lastRenderedPageBreak/>
        <w:t xml:space="preserve">Fundos Multimercados </w:t>
      </w:r>
    </w:p>
    <w:p w14:paraId="4172C795" w14:textId="5E0147BD" w:rsidR="00990C37" w:rsidRDefault="00990C37" w:rsidP="00990C37">
      <w:r>
        <w:t>No caso dos Fundos Multimercados, temos a mesma lógica para a classificação que veremos a seguir:</w:t>
      </w:r>
    </w:p>
    <w:p w14:paraId="46634E47" w14:textId="7229F3FA" w:rsidR="00990C37" w:rsidRDefault="00990C37" w:rsidP="00990C37">
      <w:r>
        <w:t xml:space="preserve">Primeiro Nível: fundos com Políticas de Investimento que envolvam vários fatores de risco, sem o compromisso de concentração em nenhum fator em especial. O hedge cambial da parcela de ativos no exterior é facultativo ao gestor. </w:t>
      </w:r>
    </w:p>
    <w:p w14:paraId="35DAFEC0" w14:textId="4E81A140" w:rsidR="00990C37" w:rsidRDefault="00990C37" w:rsidP="00990C37">
      <w:r>
        <w:t>Segundo Nível: aqui, a classificação se dá em três grupos:</w:t>
      </w:r>
    </w:p>
    <w:p w14:paraId="1B8DCEFC" w14:textId="5E13EF96" w:rsidR="00990C37" w:rsidRDefault="00990C37" w:rsidP="00990C37">
      <w:r>
        <w:rPr>
          <w:rFonts w:ascii="Segoe UI Symbol" w:hAnsi="Segoe UI Symbol" w:cs="Segoe UI Symbol"/>
        </w:rPr>
        <w:t>⯀</w:t>
      </w:r>
      <w:r>
        <w:t xml:space="preserve"> Alocação: fundos que buscam retorno no longo prazo por meio de investimento em diversas classes de ativos (renda fixa, ações, câmbio etc.), incluindo cotas de fundos de investimento; </w:t>
      </w:r>
    </w:p>
    <w:p w14:paraId="7FF26B6B" w14:textId="3DDB3771" w:rsidR="00990C37" w:rsidRDefault="00990C37" w:rsidP="00990C37">
      <w:r>
        <w:rPr>
          <w:rFonts w:ascii="Segoe UI Symbol" w:hAnsi="Segoe UI Symbol" w:cs="Segoe UI Symbol"/>
        </w:rPr>
        <w:t>⯀</w:t>
      </w:r>
      <w:r>
        <w:t xml:space="preserve"> Estratégia: fundos nesta categoria se baseiam nas estratégias preponderantes adotadas e suportadas pelo processo de investimento adotado pelo gestor como forma de atingir os objetivos e executar a política de investimentos dos fundos. Admitem alavancagem;  </w:t>
      </w:r>
    </w:p>
    <w:p w14:paraId="04449550" w14:textId="1DEABDC0" w:rsidR="00990C37" w:rsidRDefault="00990C37" w:rsidP="00990C37">
      <w:r>
        <w:rPr>
          <w:rFonts w:ascii="Segoe UI Symbol" w:hAnsi="Segoe UI Symbol" w:cs="Segoe UI Symbol"/>
        </w:rPr>
        <w:t>⯀</w:t>
      </w:r>
      <w:r>
        <w:t xml:space="preserve"> Investimento no Exterior: fundos que investem em ativos financeiros no exterior em parcela superior a 40% do patrimônio líquido. </w:t>
      </w:r>
    </w:p>
    <w:p w14:paraId="43D70F85" w14:textId="517E1E1B" w:rsidR="00990C37" w:rsidRDefault="00990C37" w:rsidP="00990C37">
      <w:r>
        <w:t>Terceiro Nível: aqui, os fundos são classificados conforme a liberdade da carteira ou necessidade de manter um benchmark composto. Ao escolher no segundo nível por alocação, as alternativas são as seguintes</w:t>
      </w:r>
    </w:p>
    <w:p w14:paraId="10008F0A" w14:textId="6E55C3DA" w:rsidR="00990C37" w:rsidRDefault="00990C37" w:rsidP="00990C37">
      <w:r>
        <w:rPr>
          <w:rFonts w:ascii="Segoe UI Symbol" w:hAnsi="Segoe UI Symbol" w:cs="Segoe UI Symbol"/>
        </w:rPr>
        <w:t>⯀</w:t>
      </w:r>
      <w:r>
        <w:t xml:space="preserve"> Balanceados: buscam retorno no longo prazo por meio da compra de diversas classes de ativos, incluindo cotas de fundos. Estes fundos possuem estratégia de alocação pré-determinada devendo especificar o mix de investimentos nas diversas classes de ativos, incluindo deslocamentos táticos e/ou políticas de rebalanceamento explícitas</w:t>
      </w:r>
    </w:p>
    <w:p w14:paraId="3907CCBA" w14:textId="6B477E6D" w:rsidR="00990C37" w:rsidRDefault="00990C37" w:rsidP="00990C37">
      <w:r>
        <w:t>O indicador de desempenho do fundo deverá acompanhar o mix de investimentos explicitado (asset allocation benchmark), não podendo, assim, ser comparado a uma única classe de ativos (por ex, 100% CDI). Os fundos, nesta subcategoria, não podem possuir exposição financeira superior a 100% do PL. Não admitem alavancagem;</w:t>
      </w:r>
    </w:p>
    <w:p w14:paraId="4201CFCE" w14:textId="30C9FBBB" w:rsidR="00990C37" w:rsidRDefault="00990C37" w:rsidP="00990C37">
      <w:r>
        <w:rPr>
          <w:rFonts w:ascii="Segoe UI Symbol" w:hAnsi="Segoe UI Symbol" w:cs="Segoe UI Symbol"/>
        </w:rPr>
        <w:t>⯀</w:t>
      </w:r>
      <w:r>
        <w:t xml:space="preserve"> Dinâmicos: buscam retorno no longo prazo por meio de investimento em diversas classes de ativos, incluindo cotas de fundos. Estes fundos possuem uma estratégia de asset allocation sem, contudo, estarem comprometidos com um mix pré-determinado de ativos. A política de alocação é flexível, reagindo às condições de mercado e ao horizonte de investimento. É permitida a aquisição de cotas de fundos que possuam exposição financeira superior a 100% do seu respectivo PL. Admitem alavancagem.</w:t>
      </w:r>
    </w:p>
    <w:p w14:paraId="120A1859" w14:textId="3C479080" w:rsidR="00990C37" w:rsidRDefault="00990C37" w:rsidP="00990C37">
      <w:r>
        <w:t>Ao escolher, no segundo nível, por estratégia, as alternativas são as seguintes:</w:t>
      </w:r>
    </w:p>
    <w:p w14:paraId="5A958617" w14:textId="207F41B7" w:rsidR="00990C37" w:rsidRDefault="00990C37" w:rsidP="00990C37">
      <w:r>
        <w:rPr>
          <w:rFonts w:ascii="Segoe UI Symbol" w:hAnsi="Segoe UI Symbol" w:cs="Segoe UI Symbol"/>
        </w:rPr>
        <w:t>⯀</w:t>
      </w:r>
      <w:r>
        <w:t xml:space="preserve"> Macro: fundos que realizam operações em diversas classes de ativos (renda fixa, renda variável, câmbio etc), com estratégias de investimento baseadas em cenários macroeconômicos de médio e longo prazos; </w:t>
      </w:r>
    </w:p>
    <w:p w14:paraId="5862A46C" w14:textId="4D08BA55" w:rsidR="00990C37" w:rsidRDefault="00990C37" w:rsidP="00990C37">
      <w:r>
        <w:rPr>
          <w:rFonts w:ascii="Segoe UI Symbol" w:hAnsi="Segoe UI Symbol" w:cs="Segoe UI Symbol"/>
        </w:rPr>
        <w:t>⯀</w:t>
      </w:r>
      <w:r>
        <w:t xml:space="preserve"> Trading: fundos que realizam operações em diversas classes de ativos (renda fixa, renda variável, câmbio etc.), explorando oportunidades de ganhos a partir de movimentos de curto prazo nos preços dos ativos; </w:t>
      </w:r>
    </w:p>
    <w:p w14:paraId="5941EA85" w14:textId="62E13933" w:rsidR="00990C37" w:rsidRDefault="00990C37" w:rsidP="00990C37">
      <w:r>
        <w:rPr>
          <w:rFonts w:ascii="Segoe UI Symbol" w:hAnsi="Segoe UI Symbol" w:cs="Segoe UI Symbol"/>
        </w:rPr>
        <w:lastRenderedPageBreak/>
        <w:t>⯀</w:t>
      </w:r>
      <w:r>
        <w:t xml:space="preserve"> Long and Short - Direcional: fundos que fazem operações de ativos e derivativos ligados ao mercado de renda variável, montando posições compradas e vendidas. O resultado deve ser proveniente, preponderantemente, da diferença entre essas posições. Os recursos remanescentes em caixa devem estar investidos em cotas de fundos Renda Fixa – Duração Baixa – Grau de Investimento ou em ativos permitidos a estes, desde que preservadas as regras que determinam a composição da carteira do tipo ANBIMA; </w:t>
      </w:r>
    </w:p>
    <w:p w14:paraId="2AE0132B" w14:textId="755C5010" w:rsidR="00990C37" w:rsidRDefault="00990C37" w:rsidP="00990C37">
      <w:r>
        <w:rPr>
          <w:rFonts w:ascii="Segoe UI Symbol" w:hAnsi="Segoe UI Symbol" w:cs="Segoe UI Symbol"/>
        </w:rPr>
        <w:t>⯀</w:t>
      </w:r>
      <w:r>
        <w:t xml:space="preserve"> Long and Short - Neutro: fundos que fazem operações de ativos e derivativos ligados ao mercado de renda variável, montando posições compradas e vendidas, com o objetivo de manterem a exposição financeira líquida limitada a 5%</w:t>
      </w:r>
    </w:p>
    <w:p w14:paraId="0EA99F0C" w14:textId="71785D49" w:rsidR="00990C37" w:rsidRDefault="00990C37" w:rsidP="00990C37">
      <w:r>
        <w:t>Os recursos remanescentes em caixa devem estar investidos em cotas de fundos Renda Fixa – Duração Baixa – Grau de Investimento ou em ativos permitidos a estes, desde que preservadas as regras que determinam a composição da carteira do Tipo ANBIMA;</w:t>
      </w:r>
    </w:p>
    <w:p w14:paraId="78513594" w14:textId="319FB3E1" w:rsidR="00990C37" w:rsidRDefault="00990C37" w:rsidP="00990C37">
      <w:r>
        <w:rPr>
          <w:rFonts w:ascii="Segoe UI Symbol" w:hAnsi="Segoe UI Symbol" w:cs="Segoe UI Symbol"/>
        </w:rPr>
        <w:t>⯀</w:t>
      </w:r>
      <w:r>
        <w:t xml:space="preserve"> Juros e Moedas: fundos que buscam retorno no longo prazo via investimentos em ativos de renda fixa, admitindo-se estratégias que impliquem risco de juros, risco de índice de preço e risco de moeda estrangeira. Excluem-se estratégias que impliquem exposição de renda variável (ações, etc.); </w:t>
      </w:r>
    </w:p>
    <w:p w14:paraId="25FB384F" w14:textId="56C48A0A" w:rsidR="00990C37" w:rsidRDefault="00990C37" w:rsidP="00990C37">
      <w:r>
        <w:rPr>
          <w:rFonts w:ascii="Segoe UI Symbol" w:hAnsi="Segoe UI Symbol" w:cs="Segoe UI Symbol"/>
        </w:rPr>
        <w:t>⯀</w:t>
      </w:r>
      <w:r>
        <w:t xml:space="preserve"> Livre: fundos sem compromisso de concentração em alguma estratégia específica;</w:t>
      </w:r>
    </w:p>
    <w:p w14:paraId="2D2CE633" w14:textId="4CF09087" w:rsidR="00990C37" w:rsidRDefault="00990C37" w:rsidP="00990C37">
      <w:r>
        <w:t xml:space="preserve"> </w:t>
      </w:r>
      <w:r>
        <w:rPr>
          <w:rFonts w:ascii="Segoe UI Symbol" w:hAnsi="Segoe UI Symbol" w:cs="Segoe UI Symbol"/>
        </w:rPr>
        <w:t>⯀</w:t>
      </w:r>
      <w:r>
        <w:t xml:space="preserve"> Capital Protegido: fundos que buscam retornos em mercados de risco procurando proteger, parcial ou totalmente, o principal investido; </w:t>
      </w:r>
    </w:p>
    <w:p w14:paraId="2FE596A6" w14:textId="11D1C9C1" w:rsidR="00990C37" w:rsidRDefault="00990C37" w:rsidP="00990C37">
      <w:r>
        <w:rPr>
          <w:rFonts w:ascii="Segoe UI Symbol" w:hAnsi="Segoe UI Symbol" w:cs="Segoe UI Symbol"/>
        </w:rPr>
        <w:t>⯀</w:t>
      </w:r>
      <w:r>
        <w:t xml:space="preserve"> Estratégia Específica: fundos que adotam estratégia de investimento que implique em riscos específicos, tais como commodities e futuro de índice.</w:t>
      </w:r>
    </w:p>
    <w:p w14:paraId="76D8B441" w14:textId="43E55E4A" w:rsidR="00990C37" w:rsidRDefault="00990C37" w:rsidP="00990C37">
      <w:r>
        <w:t>O quadro abaixo resume a classificação ANBIMA para Fundos Multimercados:</w:t>
      </w:r>
    </w:p>
    <w:p w14:paraId="515F0F27" w14:textId="3C601EC1" w:rsidR="00990C37" w:rsidRDefault="00990C37" w:rsidP="00990C37">
      <w:r>
        <w:rPr>
          <w:noProof/>
        </w:rPr>
        <w:drawing>
          <wp:inline distT="0" distB="0" distL="0" distR="0" wp14:anchorId="09C49EF9" wp14:editId="02075D00">
            <wp:extent cx="5400040" cy="370459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00040" cy="3704590"/>
                    </a:xfrm>
                    <a:prstGeom prst="rect">
                      <a:avLst/>
                    </a:prstGeom>
                    <a:noFill/>
                    <a:ln>
                      <a:noFill/>
                    </a:ln>
                  </pic:spPr>
                </pic:pic>
              </a:graphicData>
            </a:graphic>
          </wp:inline>
        </w:drawing>
      </w:r>
    </w:p>
    <w:p w14:paraId="30CD5C18" w14:textId="73508432" w:rsidR="00990C37" w:rsidRDefault="00990C37" w:rsidP="00990C37">
      <w:r>
        <w:lastRenderedPageBreak/>
        <w:t xml:space="preserve">Fundo Cambial </w:t>
      </w:r>
    </w:p>
    <w:p w14:paraId="4E889B9E" w14:textId="72EC6AF2" w:rsidR="00990C37" w:rsidRDefault="00990C37" w:rsidP="00990C37">
      <w:r>
        <w:t>Os Fundos Cambiais seguem a mesma lógica. No entanto, a ANBIMA não classifica a estratégia e agrega os fundos que aplicam pelo menos 80% da carteira em ativos - de qualquer espectro de risco de crédito - relacionados diretamente ou sintetizados, via derivativos, à moeda estrangeira, ficando da seguinte forma:</w:t>
      </w:r>
    </w:p>
    <w:p w14:paraId="72CFBE9F" w14:textId="664D13E0" w:rsidR="00990C37" w:rsidRDefault="00990C37" w:rsidP="00990C37">
      <w:r>
        <w:rPr>
          <w:noProof/>
        </w:rPr>
        <w:drawing>
          <wp:inline distT="0" distB="0" distL="0" distR="0" wp14:anchorId="40333171" wp14:editId="443F8C05">
            <wp:extent cx="5391150" cy="657225"/>
            <wp:effectExtent l="0" t="0" r="0" b="952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657225"/>
                    </a:xfrm>
                    <a:prstGeom prst="rect">
                      <a:avLst/>
                    </a:prstGeom>
                    <a:noFill/>
                    <a:ln>
                      <a:noFill/>
                    </a:ln>
                  </pic:spPr>
                </pic:pic>
              </a:graphicData>
            </a:graphic>
          </wp:inline>
        </w:drawing>
      </w:r>
    </w:p>
    <w:p w14:paraId="36006ED6" w14:textId="0EB6F8F3" w:rsidR="00990C37" w:rsidRDefault="00990C37" w:rsidP="00990C37">
      <w:r w:rsidRPr="00990C37">
        <w:t>Para finalizar o tema de classificação ANBIMA para Fundos de Investimentos, deixo aqui um resumo com todas as possibilidades de fundos de investimentos segundo essa classificação</w:t>
      </w:r>
    </w:p>
    <w:p w14:paraId="1C792CD7" w14:textId="25B48B20" w:rsidR="00990C37" w:rsidRDefault="00990C37" w:rsidP="00990C37">
      <w:r>
        <w:rPr>
          <w:noProof/>
        </w:rPr>
        <w:drawing>
          <wp:inline distT="0" distB="0" distL="0" distR="0" wp14:anchorId="712F4EFE" wp14:editId="6BEAB1D1">
            <wp:extent cx="4914900" cy="5438775"/>
            <wp:effectExtent l="0" t="0" r="0" b="9525"/>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14900" cy="5438775"/>
                    </a:xfrm>
                    <a:prstGeom prst="rect">
                      <a:avLst/>
                    </a:prstGeom>
                    <a:noFill/>
                    <a:ln>
                      <a:noFill/>
                    </a:ln>
                  </pic:spPr>
                </pic:pic>
              </a:graphicData>
            </a:graphic>
          </wp:inline>
        </w:drawing>
      </w:r>
    </w:p>
    <w:p w14:paraId="46C1AA81" w14:textId="77777777" w:rsidR="00990C37" w:rsidRDefault="00990C37" w:rsidP="00990C37"/>
    <w:p w14:paraId="5E8CF21C" w14:textId="77777777" w:rsidR="004740A1" w:rsidRDefault="004740A1" w:rsidP="004740A1"/>
    <w:sectPr w:rsidR="004740A1">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7131DB"/>
    <w:multiLevelType w:val="hybridMultilevel"/>
    <w:tmpl w:val="639E37B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23BC0C11"/>
    <w:multiLevelType w:val="multilevel"/>
    <w:tmpl w:val="0E96D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F8E"/>
    <w:rsid w:val="00006C6F"/>
    <w:rsid w:val="00067CA7"/>
    <w:rsid w:val="00094406"/>
    <w:rsid w:val="000B49F4"/>
    <w:rsid w:val="0016562A"/>
    <w:rsid w:val="001820AA"/>
    <w:rsid w:val="00257E1A"/>
    <w:rsid w:val="002B49F2"/>
    <w:rsid w:val="0038157B"/>
    <w:rsid w:val="00424D64"/>
    <w:rsid w:val="00436167"/>
    <w:rsid w:val="0045018F"/>
    <w:rsid w:val="004740A1"/>
    <w:rsid w:val="0049415D"/>
    <w:rsid w:val="00553CD0"/>
    <w:rsid w:val="005A4E54"/>
    <w:rsid w:val="0064377E"/>
    <w:rsid w:val="0079079C"/>
    <w:rsid w:val="007A3B8F"/>
    <w:rsid w:val="00944C9B"/>
    <w:rsid w:val="009461D8"/>
    <w:rsid w:val="00990C37"/>
    <w:rsid w:val="009A1BDB"/>
    <w:rsid w:val="009F587A"/>
    <w:rsid w:val="00A230BA"/>
    <w:rsid w:val="00B873D0"/>
    <w:rsid w:val="00BA72A2"/>
    <w:rsid w:val="00C75596"/>
    <w:rsid w:val="00D332C7"/>
    <w:rsid w:val="00D43016"/>
    <w:rsid w:val="00DB0B91"/>
    <w:rsid w:val="00E83F8E"/>
    <w:rsid w:val="00E856B4"/>
    <w:rsid w:val="00E91256"/>
    <w:rsid w:val="00EF280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5B8B4E"/>
  <w15:chartTrackingRefBased/>
  <w15:docId w15:val="{B1FCBB41-E400-4CE6-A939-582A75C40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24D6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840">
      <w:bodyDiv w:val="1"/>
      <w:marLeft w:val="0"/>
      <w:marRight w:val="0"/>
      <w:marTop w:val="0"/>
      <w:marBottom w:val="0"/>
      <w:divBdr>
        <w:top w:val="none" w:sz="0" w:space="0" w:color="auto"/>
        <w:left w:val="none" w:sz="0" w:space="0" w:color="auto"/>
        <w:bottom w:val="none" w:sz="0" w:space="0" w:color="auto"/>
        <w:right w:val="none" w:sz="0" w:space="0" w:color="auto"/>
      </w:divBdr>
    </w:div>
    <w:div w:id="2129478">
      <w:bodyDiv w:val="1"/>
      <w:marLeft w:val="0"/>
      <w:marRight w:val="0"/>
      <w:marTop w:val="0"/>
      <w:marBottom w:val="0"/>
      <w:divBdr>
        <w:top w:val="none" w:sz="0" w:space="0" w:color="auto"/>
        <w:left w:val="none" w:sz="0" w:space="0" w:color="auto"/>
        <w:bottom w:val="none" w:sz="0" w:space="0" w:color="auto"/>
        <w:right w:val="none" w:sz="0" w:space="0" w:color="auto"/>
      </w:divBdr>
    </w:div>
    <w:div w:id="52777807">
      <w:bodyDiv w:val="1"/>
      <w:marLeft w:val="0"/>
      <w:marRight w:val="0"/>
      <w:marTop w:val="0"/>
      <w:marBottom w:val="0"/>
      <w:divBdr>
        <w:top w:val="none" w:sz="0" w:space="0" w:color="auto"/>
        <w:left w:val="none" w:sz="0" w:space="0" w:color="auto"/>
        <w:bottom w:val="none" w:sz="0" w:space="0" w:color="auto"/>
        <w:right w:val="none" w:sz="0" w:space="0" w:color="auto"/>
      </w:divBdr>
    </w:div>
    <w:div w:id="106044622">
      <w:bodyDiv w:val="1"/>
      <w:marLeft w:val="0"/>
      <w:marRight w:val="0"/>
      <w:marTop w:val="0"/>
      <w:marBottom w:val="0"/>
      <w:divBdr>
        <w:top w:val="none" w:sz="0" w:space="0" w:color="auto"/>
        <w:left w:val="none" w:sz="0" w:space="0" w:color="auto"/>
        <w:bottom w:val="none" w:sz="0" w:space="0" w:color="auto"/>
        <w:right w:val="none" w:sz="0" w:space="0" w:color="auto"/>
      </w:divBdr>
    </w:div>
    <w:div w:id="142891525">
      <w:bodyDiv w:val="1"/>
      <w:marLeft w:val="0"/>
      <w:marRight w:val="0"/>
      <w:marTop w:val="0"/>
      <w:marBottom w:val="0"/>
      <w:divBdr>
        <w:top w:val="none" w:sz="0" w:space="0" w:color="auto"/>
        <w:left w:val="none" w:sz="0" w:space="0" w:color="auto"/>
        <w:bottom w:val="none" w:sz="0" w:space="0" w:color="auto"/>
        <w:right w:val="none" w:sz="0" w:space="0" w:color="auto"/>
      </w:divBdr>
    </w:div>
    <w:div w:id="154540415">
      <w:bodyDiv w:val="1"/>
      <w:marLeft w:val="0"/>
      <w:marRight w:val="0"/>
      <w:marTop w:val="0"/>
      <w:marBottom w:val="0"/>
      <w:divBdr>
        <w:top w:val="none" w:sz="0" w:space="0" w:color="auto"/>
        <w:left w:val="none" w:sz="0" w:space="0" w:color="auto"/>
        <w:bottom w:val="none" w:sz="0" w:space="0" w:color="auto"/>
        <w:right w:val="none" w:sz="0" w:space="0" w:color="auto"/>
      </w:divBdr>
    </w:div>
    <w:div w:id="185532707">
      <w:bodyDiv w:val="1"/>
      <w:marLeft w:val="0"/>
      <w:marRight w:val="0"/>
      <w:marTop w:val="0"/>
      <w:marBottom w:val="0"/>
      <w:divBdr>
        <w:top w:val="none" w:sz="0" w:space="0" w:color="auto"/>
        <w:left w:val="none" w:sz="0" w:space="0" w:color="auto"/>
        <w:bottom w:val="none" w:sz="0" w:space="0" w:color="auto"/>
        <w:right w:val="none" w:sz="0" w:space="0" w:color="auto"/>
      </w:divBdr>
    </w:div>
    <w:div w:id="261770502">
      <w:bodyDiv w:val="1"/>
      <w:marLeft w:val="0"/>
      <w:marRight w:val="0"/>
      <w:marTop w:val="0"/>
      <w:marBottom w:val="0"/>
      <w:divBdr>
        <w:top w:val="none" w:sz="0" w:space="0" w:color="auto"/>
        <w:left w:val="none" w:sz="0" w:space="0" w:color="auto"/>
        <w:bottom w:val="none" w:sz="0" w:space="0" w:color="auto"/>
        <w:right w:val="none" w:sz="0" w:space="0" w:color="auto"/>
      </w:divBdr>
    </w:div>
    <w:div w:id="267547567">
      <w:bodyDiv w:val="1"/>
      <w:marLeft w:val="0"/>
      <w:marRight w:val="0"/>
      <w:marTop w:val="0"/>
      <w:marBottom w:val="0"/>
      <w:divBdr>
        <w:top w:val="none" w:sz="0" w:space="0" w:color="auto"/>
        <w:left w:val="none" w:sz="0" w:space="0" w:color="auto"/>
        <w:bottom w:val="none" w:sz="0" w:space="0" w:color="auto"/>
        <w:right w:val="none" w:sz="0" w:space="0" w:color="auto"/>
      </w:divBdr>
    </w:div>
    <w:div w:id="285236158">
      <w:bodyDiv w:val="1"/>
      <w:marLeft w:val="0"/>
      <w:marRight w:val="0"/>
      <w:marTop w:val="0"/>
      <w:marBottom w:val="0"/>
      <w:divBdr>
        <w:top w:val="none" w:sz="0" w:space="0" w:color="auto"/>
        <w:left w:val="none" w:sz="0" w:space="0" w:color="auto"/>
        <w:bottom w:val="none" w:sz="0" w:space="0" w:color="auto"/>
        <w:right w:val="none" w:sz="0" w:space="0" w:color="auto"/>
      </w:divBdr>
    </w:div>
    <w:div w:id="298610371">
      <w:bodyDiv w:val="1"/>
      <w:marLeft w:val="0"/>
      <w:marRight w:val="0"/>
      <w:marTop w:val="0"/>
      <w:marBottom w:val="0"/>
      <w:divBdr>
        <w:top w:val="none" w:sz="0" w:space="0" w:color="auto"/>
        <w:left w:val="none" w:sz="0" w:space="0" w:color="auto"/>
        <w:bottom w:val="none" w:sz="0" w:space="0" w:color="auto"/>
        <w:right w:val="none" w:sz="0" w:space="0" w:color="auto"/>
      </w:divBdr>
    </w:div>
    <w:div w:id="310333069">
      <w:bodyDiv w:val="1"/>
      <w:marLeft w:val="0"/>
      <w:marRight w:val="0"/>
      <w:marTop w:val="0"/>
      <w:marBottom w:val="0"/>
      <w:divBdr>
        <w:top w:val="none" w:sz="0" w:space="0" w:color="auto"/>
        <w:left w:val="none" w:sz="0" w:space="0" w:color="auto"/>
        <w:bottom w:val="none" w:sz="0" w:space="0" w:color="auto"/>
        <w:right w:val="none" w:sz="0" w:space="0" w:color="auto"/>
      </w:divBdr>
    </w:div>
    <w:div w:id="368729470">
      <w:bodyDiv w:val="1"/>
      <w:marLeft w:val="0"/>
      <w:marRight w:val="0"/>
      <w:marTop w:val="0"/>
      <w:marBottom w:val="0"/>
      <w:divBdr>
        <w:top w:val="none" w:sz="0" w:space="0" w:color="auto"/>
        <w:left w:val="none" w:sz="0" w:space="0" w:color="auto"/>
        <w:bottom w:val="none" w:sz="0" w:space="0" w:color="auto"/>
        <w:right w:val="none" w:sz="0" w:space="0" w:color="auto"/>
      </w:divBdr>
    </w:div>
    <w:div w:id="425228465">
      <w:bodyDiv w:val="1"/>
      <w:marLeft w:val="0"/>
      <w:marRight w:val="0"/>
      <w:marTop w:val="0"/>
      <w:marBottom w:val="0"/>
      <w:divBdr>
        <w:top w:val="none" w:sz="0" w:space="0" w:color="auto"/>
        <w:left w:val="none" w:sz="0" w:space="0" w:color="auto"/>
        <w:bottom w:val="none" w:sz="0" w:space="0" w:color="auto"/>
        <w:right w:val="none" w:sz="0" w:space="0" w:color="auto"/>
      </w:divBdr>
    </w:div>
    <w:div w:id="505823159">
      <w:bodyDiv w:val="1"/>
      <w:marLeft w:val="0"/>
      <w:marRight w:val="0"/>
      <w:marTop w:val="0"/>
      <w:marBottom w:val="0"/>
      <w:divBdr>
        <w:top w:val="none" w:sz="0" w:space="0" w:color="auto"/>
        <w:left w:val="none" w:sz="0" w:space="0" w:color="auto"/>
        <w:bottom w:val="none" w:sz="0" w:space="0" w:color="auto"/>
        <w:right w:val="none" w:sz="0" w:space="0" w:color="auto"/>
      </w:divBdr>
    </w:div>
    <w:div w:id="556670075">
      <w:bodyDiv w:val="1"/>
      <w:marLeft w:val="0"/>
      <w:marRight w:val="0"/>
      <w:marTop w:val="0"/>
      <w:marBottom w:val="0"/>
      <w:divBdr>
        <w:top w:val="none" w:sz="0" w:space="0" w:color="auto"/>
        <w:left w:val="none" w:sz="0" w:space="0" w:color="auto"/>
        <w:bottom w:val="none" w:sz="0" w:space="0" w:color="auto"/>
        <w:right w:val="none" w:sz="0" w:space="0" w:color="auto"/>
      </w:divBdr>
    </w:div>
    <w:div w:id="558249936">
      <w:bodyDiv w:val="1"/>
      <w:marLeft w:val="0"/>
      <w:marRight w:val="0"/>
      <w:marTop w:val="0"/>
      <w:marBottom w:val="0"/>
      <w:divBdr>
        <w:top w:val="none" w:sz="0" w:space="0" w:color="auto"/>
        <w:left w:val="none" w:sz="0" w:space="0" w:color="auto"/>
        <w:bottom w:val="none" w:sz="0" w:space="0" w:color="auto"/>
        <w:right w:val="none" w:sz="0" w:space="0" w:color="auto"/>
      </w:divBdr>
    </w:div>
    <w:div w:id="630719463">
      <w:bodyDiv w:val="1"/>
      <w:marLeft w:val="0"/>
      <w:marRight w:val="0"/>
      <w:marTop w:val="0"/>
      <w:marBottom w:val="0"/>
      <w:divBdr>
        <w:top w:val="none" w:sz="0" w:space="0" w:color="auto"/>
        <w:left w:val="none" w:sz="0" w:space="0" w:color="auto"/>
        <w:bottom w:val="none" w:sz="0" w:space="0" w:color="auto"/>
        <w:right w:val="none" w:sz="0" w:space="0" w:color="auto"/>
      </w:divBdr>
    </w:div>
    <w:div w:id="642660611">
      <w:bodyDiv w:val="1"/>
      <w:marLeft w:val="0"/>
      <w:marRight w:val="0"/>
      <w:marTop w:val="0"/>
      <w:marBottom w:val="0"/>
      <w:divBdr>
        <w:top w:val="none" w:sz="0" w:space="0" w:color="auto"/>
        <w:left w:val="none" w:sz="0" w:space="0" w:color="auto"/>
        <w:bottom w:val="none" w:sz="0" w:space="0" w:color="auto"/>
        <w:right w:val="none" w:sz="0" w:space="0" w:color="auto"/>
      </w:divBdr>
    </w:div>
    <w:div w:id="704714696">
      <w:bodyDiv w:val="1"/>
      <w:marLeft w:val="0"/>
      <w:marRight w:val="0"/>
      <w:marTop w:val="0"/>
      <w:marBottom w:val="0"/>
      <w:divBdr>
        <w:top w:val="none" w:sz="0" w:space="0" w:color="auto"/>
        <w:left w:val="none" w:sz="0" w:space="0" w:color="auto"/>
        <w:bottom w:val="none" w:sz="0" w:space="0" w:color="auto"/>
        <w:right w:val="none" w:sz="0" w:space="0" w:color="auto"/>
      </w:divBdr>
    </w:div>
    <w:div w:id="743449747">
      <w:bodyDiv w:val="1"/>
      <w:marLeft w:val="0"/>
      <w:marRight w:val="0"/>
      <w:marTop w:val="0"/>
      <w:marBottom w:val="0"/>
      <w:divBdr>
        <w:top w:val="none" w:sz="0" w:space="0" w:color="auto"/>
        <w:left w:val="none" w:sz="0" w:space="0" w:color="auto"/>
        <w:bottom w:val="none" w:sz="0" w:space="0" w:color="auto"/>
        <w:right w:val="none" w:sz="0" w:space="0" w:color="auto"/>
      </w:divBdr>
    </w:div>
    <w:div w:id="791443839">
      <w:bodyDiv w:val="1"/>
      <w:marLeft w:val="0"/>
      <w:marRight w:val="0"/>
      <w:marTop w:val="0"/>
      <w:marBottom w:val="0"/>
      <w:divBdr>
        <w:top w:val="none" w:sz="0" w:space="0" w:color="auto"/>
        <w:left w:val="none" w:sz="0" w:space="0" w:color="auto"/>
        <w:bottom w:val="none" w:sz="0" w:space="0" w:color="auto"/>
        <w:right w:val="none" w:sz="0" w:space="0" w:color="auto"/>
      </w:divBdr>
    </w:div>
    <w:div w:id="806119527">
      <w:bodyDiv w:val="1"/>
      <w:marLeft w:val="0"/>
      <w:marRight w:val="0"/>
      <w:marTop w:val="0"/>
      <w:marBottom w:val="0"/>
      <w:divBdr>
        <w:top w:val="none" w:sz="0" w:space="0" w:color="auto"/>
        <w:left w:val="none" w:sz="0" w:space="0" w:color="auto"/>
        <w:bottom w:val="none" w:sz="0" w:space="0" w:color="auto"/>
        <w:right w:val="none" w:sz="0" w:space="0" w:color="auto"/>
      </w:divBdr>
    </w:div>
    <w:div w:id="827982260">
      <w:bodyDiv w:val="1"/>
      <w:marLeft w:val="0"/>
      <w:marRight w:val="0"/>
      <w:marTop w:val="0"/>
      <w:marBottom w:val="0"/>
      <w:divBdr>
        <w:top w:val="none" w:sz="0" w:space="0" w:color="auto"/>
        <w:left w:val="none" w:sz="0" w:space="0" w:color="auto"/>
        <w:bottom w:val="none" w:sz="0" w:space="0" w:color="auto"/>
        <w:right w:val="none" w:sz="0" w:space="0" w:color="auto"/>
      </w:divBdr>
    </w:div>
    <w:div w:id="862866775">
      <w:bodyDiv w:val="1"/>
      <w:marLeft w:val="0"/>
      <w:marRight w:val="0"/>
      <w:marTop w:val="0"/>
      <w:marBottom w:val="0"/>
      <w:divBdr>
        <w:top w:val="none" w:sz="0" w:space="0" w:color="auto"/>
        <w:left w:val="none" w:sz="0" w:space="0" w:color="auto"/>
        <w:bottom w:val="none" w:sz="0" w:space="0" w:color="auto"/>
        <w:right w:val="none" w:sz="0" w:space="0" w:color="auto"/>
      </w:divBdr>
    </w:div>
    <w:div w:id="864439449">
      <w:bodyDiv w:val="1"/>
      <w:marLeft w:val="0"/>
      <w:marRight w:val="0"/>
      <w:marTop w:val="0"/>
      <w:marBottom w:val="0"/>
      <w:divBdr>
        <w:top w:val="none" w:sz="0" w:space="0" w:color="auto"/>
        <w:left w:val="none" w:sz="0" w:space="0" w:color="auto"/>
        <w:bottom w:val="none" w:sz="0" w:space="0" w:color="auto"/>
        <w:right w:val="none" w:sz="0" w:space="0" w:color="auto"/>
      </w:divBdr>
    </w:div>
    <w:div w:id="902066599">
      <w:bodyDiv w:val="1"/>
      <w:marLeft w:val="0"/>
      <w:marRight w:val="0"/>
      <w:marTop w:val="0"/>
      <w:marBottom w:val="0"/>
      <w:divBdr>
        <w:top w:val="none" w:sz="0" w:space="0" w:color="auto"/>
        <w:left w:val="none" w:sz="0" w:space="0" w:color="auto"/>
        <w:bottom w:val="none" w:sz="0" w:space="0" w:color="auto"/>
        <w:right w:val="none" w:sz="0" w:space="0" w:color="auto"/>
      </w:divBdr>
    </w:div>
    <w:div w:id="920025739">
      <w:bodyDiv w:val="1"/>
      <w:marLeft w:val="0"/>
      <w:marRight w:val="0"/>
      <w:marTop w:val="0"/>
      <w:marBottom w:val="0"/>
      <w:divBdr>
        <w:top w:val="none" w:sz="0" w:space="0" w:color="auto"/>
        <w:left w:val="none" w:sz="0" w:space="0" w:color="auto"/>
        <w:bottom w:val="none" w:sz="0" w:space="0" w:color="auto"/>
        <w:right w:val="none" w:sz="0" w:space="0" w:color="auto"/>
      </w:divBdr>
    </w:div>
    <w:div w:id="973752704">
      <w:bodyDiv w:val="1"/>
      <w:marLeft w:val="0"/>
      <w:marRight w:val="0"/>
      <w:marTop w:val="0"/>
      <w:marBottom w:val="0"/>
      <w:divBdr>
        <w:top w:val="none" w:sz="0" w:space="0" w:color="auto"/>
        <w:left w:val="none" w:sz="0" w:space="0" w:color="auto"/>
        <w:bottom w:val="none" w:sz="0" w:space="0" w:color="auto"/>
        <w:right w:val="none" w:sz="0" w:space="0" w:color="auto"/>
      </w:divBdr>
    </w:div>
    <w:div w:id="1018586280">
      <w:bodyDiv w:val="1"/>
      <w:marLeft w:val="0"/>
      <w:marRight w:val="0"/>
      <w:marTop w:val="0"/>
      <w:marBottom w:val="0"/>
      <w:divBdr>
        <w:top w:val="none" w:sz="0" w:space="0" w:color="auto"/>
        <w:left w:val="none" w:sz="0" w:space="0" w:color="auto"/>
        <w:bottom w:val="none" w:sz="0" w:space="0" w:color="auto"/>
        <w:right w:val="none" w:sz="0" w:space="0" w:color="auto"/>
      </w:divBdr>
      <w:divsChild>
        <w:div w:id="16740351">
          <w:marLeft w:val="0"/>
          <w:marRight w:val="0"/>
          <w:marTop w:val="0"/>
          <w:marBottom w:val="0"/>
          <w:divBdr>
            <w:top w:val="single" w:sz="2" w:space="0" w:color="auto"/>
            <w:left w:val="single" w:sz="2" w:space="0" w:color="auto"/>
            <w:bottom w:val="single" w:sz="6" w:space="0" w:color="auto"/>
            <w:right w:val="single" w:sz="2" w:space="0" w:color="auto"/>
          </w:divBdr>
          <w:divsChild>
            <w:div w:id="101582174">
              <w:marLeft w:val="0"/>
              <w:marRight w:val="0"/>
              <w:marTop w:val="0"/>
              <w:marBottom w:val="0"/>
              <w:divBdr>
                <w:top w:val="single" w:sz="2" w:space="0" w:color="auto"/>
                <w:left w:val="single" w:sz="2" w:space="0" w:color="auto"/>
                <w:bottom w:val="single" w:sz="2" w:space="0" w:color="auto"/>
                <w:right w:val="single" w:sz="2" w:space="0" w:color="auto"/>
              </w:divBdr>
              <w:divsChild>
                <w:div w:id="1122387663">
                  <w:marLeft w:val="0"/>
                  <w:marRight w:val="0"/>
                  <w:marTop w:val="0"/>
                  <w:marBottom w:val="0"/>
                  <w:divBdr>
                    <w:top w:val="single" w:sz="2" w:space="0" w:color="auto"/>
                    <w:left w:val="single" w:sz="2" w:space="0" w:color="auto"/>
                    <w:bottom w:val="single" w:sz="2" w:space="0" w:color="auto"/>
                    <w:right w:val="single" w:sz="2" w:space="0" w:color="auto"/>
                  </w:divBdr>
                </w:div>
                <w:div w:id="1474715368">
                  <w:marLeft w:val="0"/>
                  <w:marRight w:val="0"/>
                  <w:marTop w:val="0"/>
                  <w:marBottom w:val="0"/>
                  <w:divBdr>
                    <w:top w:val="single" w:sz="2" w:space="0" w:color="auto"/>
                    <w:left w:val="single" w:sz="2" w:space="0" w:color="auto"/>
                    <w:bottom w:val="single" w:sz="2" w:space="0" w:color="auto"/>
                    <w:right w:val="single" w:sz="2" w:space="0" w:color="auto"/>
                  </w:divBdr>
                  <w:divsChild>
                    <w:div w:id="34840938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064645517">
      <w:bodyDiv w:val="1"/>
      <w:marLeft w:val="0"/>
      <w:marRight w:val="0"/>
      <w:marTop w:val="0"/>
      <w:marBottom w:val="0"/>
      <w:divBdr>
        <w:top w:val="none" w:sz="0" w:space="0" w:color="auto"/>
        <w:left w:val="none" w:sz="0" w:space="0" w:color="auto"/>
        <w:bottom w:val="none" w:sz="0" w:space="0" w:color="auto"/>
        <w:right w:val="none" w:sz="0" w:space="0" w:color="auto"/>
      </w:divBdr>
    </w:div>
    <w:div w:id="1069695591">
      <w:bodyDiv w:val="1"/>
      <w:marLeft w:val="0"/>
      <w:marRight w:val="0"/>
      <w:marTop w:val="0"/>
      <w:marBottom w:val="0"/>
      <w:divBdr>
        <w:top w:val="none" w:sz="0" w:space="0" w:color="auto"/>
        <w:left w:val="none" w:sz="0" w:space="0" w:color="auto"/>
        <w:bottom w:val="none" w:sz="0" w:space="0" w:color="auto"/>
        <w:right w:val="none" w:sz="0" w:space="0" w:color="auto"/>
      </w:divBdr>
    </w:div>
    <w:div w:id="1081026066">
      <w:bodyDiv w:val="1"/>
      <w:marLeft w:val="0"/>
      <w:marRight w:val="0"/>
      <w:marTop w:val="0"/>
      <w:marBottom w:val="0"/>
      <w:divBdr>
        <w:top w:val="none" w:sz="0" w:space="0" w:color="auto"/>
        <w:left w:val="none" w:sz="0" w:space="0" w:color="auto"/>
        <w:bottom w:val="none" w:sz="0" w:space="0" w:color="auto"/>
        <w:right w:val="none" w:sz="0" w:space="0" w:color="auto"/>
      </w:divBdr>
    </w:div>
    <w:div w:id="1092122037">
      <w:bodyDiv w:val="1"/>
      <w:marLeft w:val="0"/>
      <w:marRight w:val="0"/>
      <w:marTop w:val="0"/>
      <w:marBottom w:val="0"/>
      <w:divBdr>
        <w:top w:val="none" w:sz="0" w:space="0" w:color="auto"/>
        <w:left w:val="none" w:sz="0" w:space="0" w:color="auto"/>
        <w:bottom w:val="none" w:sz="0" w:space="0" w:color="auto"/>
        <w:right w:val="none" w:sz="0" w:space="0" w:color="auto"/>
      </w:divBdr>
    </w:div>
    <w:div w:id="1095979105">
      <w:bodyDiv w:val="1"/>
      <w:marLeft w:val="0"/>
      <w:marRight w:val="0"/>
      <w:marTop w:val="0"/>
      <w:marBottom w:val="0"/>
      <w:divBdr>
        <w:top w:val="none" w:sz="0" w:space="0" w:color="auto"/>
        <w:left w:val="none" w:sz="0" w:space="0" w:color="auto"/>
        <w:bottom w:val="none" w:sz="0" w:space="0" w:color="auto"/>
        <w:right w:val="none" w:sz="0" w:space="0" w:color="auto"/>
      </w:divBdr>
    </w:div>
    <w:div w:id="1117484550">
      <w:bodyDiv w:val="1"/>
      <w:marLeft w:val="0"/>
      <w:marRight w:val="0"/>
      <w:marTop w:val="0"/>
      <w:marBottom w:val="0"/>
      <w:divBdr>
        <w:top w:val="none" w:sz="0" w:space="0" w:color="auto"/>
        <w:left w:val="none" w:sz="0" w:space="0" w:color="auto"/>
        <w:bottom w:val="none" w:sz="0" w:space="0" w:color="auto"/>
        <w:right w:val="none" w:sz="0" w:space="0" w:color="auto"/>
      </w:divBdr>
    </w:div>
    <w:div w:id="1120804009">
      <w:bodyDiv w:val="1"/>
      <w:marLeft w:val="0"/>
      <w:marRight w:val="0"/>
      <w:marTop w:val="0"/>
      <w:marBottom w:val="0"/>
      <w:divBdr>
        <w:top w:val="none" w:sz="0" w:space="0" w:color="auto"/>
        <w:left w:val="none" w:sz="0" w:space="0" w:color="auto"/>
        <w:bottom w:val="none" w:sz="0" w:space="0" w:color="auto"/>
        <w:right w:val="none" w:sz="0" w:space="0" w:color="auto"/>
      </w:divBdr>
    </w:div>
    <w:div w:id="1149324446">
      <w:bodyDiv w:val="1"/>
      <w:marLeft w:val="0"/>
      <w:marRight w:val="0"/>
      <w:marTop w:val="0"/>
      <w:marBottom w:val="0"/>
      <w:divBdr>
        <w:top w:val="none" w:sz="0" w:space="0" w:color="auto"/>
        <w:left w:val="none" w:sz="0" w:space="0" w:color="auto"/>
        <w:bottom w:val="none" w:sz="0" w:space="0" w:color="auto"/>
        <w:right w:val="none" w:sz="0" w:space="0" w:color="auto"/>
      </w:divBdr>
    </w:div>
    <w:div w:id="1171334593">
      <w:bodyDiv w:val="1"/>
      <w:marLeft w:val="0"/>
      <w:marRight w:val="0"/>
      <w:marTop w:val="0"/>
      <w:marBottom w:val="0"/>
      <w:divBdr>
        <w:top w:val="none" w:sz="0" w:space="0" w:color="auto"/>
        <w:left w:val="none" w:sz="0" w:space="0" w:color="auto"/>
        <w:bottom w:val="none" w:sz="0" w:space="0" w:color="auto"/>
        <w:right w:val="none" w:sz="0" w:space="0" w:color="auto"/>
      </w:divBdr>
    </w:div>
    <w:div w:id="1321081710">
      <w:bodyDiv w:val="1"/>
      <w:marLeft w:val="0"/>
      <w:marRight w:val="0"/>
      <w:marTop w:val="0"/>
      <w:marBottom w:val="0"/>
      <w:divBdr>
        <w:top w:val="none" w:sz="0" w:space="0" w:color="auto"/>
        <w:left w:val="none" w:sz="0" w:space="0" w:color="auto"/>
        <w:bottom w:val="none" w:sz="0" w:space="0" w:color="auto"/>
        <w:right w:val="none" w:sz="0" w:space="0" w:color="auto"/>
      </w:divBdr>
    </w:div>
    <w:div w:id="1371613951">
      <w:bodyDiv w:val="1"/>
      <w:marLeft w:val="0"/>
      <w:marRight w:val="0"/>
      <w:marTop w:val="0"/>
      <w:marBottom w:val="0"/>
      <w:divBdr>
        <w:top w:val="none" w:sz="0" w:space="0" w:color="auto"/>
        <w:left w:val="none" w:sz="0" w:space="0" w:color="auto"/>
        <w:bottom w:val="none" w:sz="0" w:space="0" w:color="auto"/>
        <w:right w:val="none" w:sz="0" w:space="0" w:color="auto"/>
      </w:divBdr>
    </w:div>
    <w:div w:id="1372342205">
      <w:bodyDiv w:val="1"/>
      <w:marLeft w:val="0"/>
      <w:marRight w:val="0"/>
      <w:marTop w:val="0"/>
      <w:marBottom w:val="0"/>
      <w:divBdr>
        <w:top w:val="none" w:sz="0" w:space="0" w:color="auto"/>
        <w:left w:val="none" w:sz="0" w:space="0" w:color="auto"/>
        <w:bottom w:val="none" w:sz="0" w:space="0" w:color="auto"/>
        <w:right w:val="none" w:sz="0" w:space="0" w:color="auto"/>
      </w:divBdr>
      <w:divsChild>
        <w:div w:id="1193306632">
          <w:marLeft w:val="0"/>
          <w:marRight w:val="0"/>
          <w:marTop w:val="0"/>
          <w:marBottom w:val="0"/>
          <w:divBdr>
            <w:top w:val="single" w:sz="2" w:space="0" w:color="auto"/>
            <w:left w:val="single" w:sz="2" w:space="0" w:color="auto"/>
            <w:bottom w:val="single" w:sz="6" w:space="0" w:color="auto"/>
            <w:right w:val="single" w:sz="2" w:space="0" w:color="auto"/>
          </w:divBdr>
          <w:divsChild>
            <w:div w:id="766736951">
              <w:marLeft w:val="0"/>
              <w:marRight w:val="0"/>
              <w:marTop w:val="0"/>
              <w:marBottom w:val="0"/>
              <w:divBdr>
                <w:top w:val="single" w:sz="2" w:space="0" w:color="auto"/>
                <w:left w:val="single" w:sz="2" w:space="0" w:color="auto"/>
                <w:bottom w:val="single" w:sz="2" w:space="0" w:color="auto"/>
                <w:right w:val="single" w:sz="2" w:space="0" w:color="auto"/>
              </w:divBdr>
              <w:divsChild>
                <w:div w:id="561405469">
                  <w:marLeft w:val="0"/>
                  <w:marRight w:val="0"/>
                  <w:marTop w:val="0"/>
                  <w:marBottom w:val="0"/>
                  <w:divBdr>
                    <w:top w:val="single" w:sz="2" w:space="0" w:color="auto"/>
                    <w:left w:val="single" w:sz="2" w:space="0" w:color="auto"/>
                    <w:bottom w:val="single" w:sz="2" w:space="0" w:color="auto"/>
                    <w:right w:val="single" w:sz="2" w:space="0" w:color="auto"/>
                  </w:divBdr>
                </w:div>
                <w:div w:id="2071998075">
                  <w:marLeft w:val="0"/>
                  <w:marRight w:val="0"/>
                  <w:marTop w:val="0"/>
                  <w:marBottom w:val="0"/>
                  <w:divBdr>
                    <w:top w:val="single" w:sz="2" w:space="0" w:color="auto"/>
                    <w:left w:val="single" w:sz="2" w:space="0" w:color="auto"/>
                    <w:bottom w:val="single" w:sz="2" w:space="0" w:color="auto"/>
                    <w:right w:val="single" w:sz="2" w:space="0" w:color="auto"/>
                  </w:divBdr>
                  <w:divsChild>
                    <w:div w:id="57956298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401055477">
      <w:bodyDiv w:val="1"/>
      <w:marLeft w:val="0"/>
      <w:marRight w:val="0"/>
      <w:marTop w:val="0"/>
      <w:marBottom w:val="0"/>
      <w:divBdr>
        <w:top w:val="none" w:sz="0" w:space="0" w:color="auto"/>
        <w:left w:val="none" w:sz="0" w:space="0" w:color="auto"/>
        <w:bottom w:val="none" w:sz="0" w:space="0" w:color="auto"/>
        <w:right w:val="none" w:sz="0" w:space="0" w:color="auto"/>
      </w:divBdr>
    </w:div>
    <w:div w:id="1419905829">
      <w:bodyDiv w:val="1"/>
      <w:marLeft w:val="0"/>
      <w:marRight w:val="0"/>
      <w:marTop w:val="0"/>
      <w:marBottom w:val="0"/>
      <w:divBdr>
        <w:top w:val="none" w:sz="0" w:space="0" w:color="auto"/>
        <w:left w:val="none" w:sz="0" w:space="0" w:color="auto"/>
        <w:bottom w:val="none" w:sz="0" w:space="0" w:color="auto"/>
        <w:right w:val="none" w:sz="0" w:space="0" w:color="auto"/>
      </w:divBdr>
    </w:div>
    <w:div w:id="1430543857">
      <w:bodyDiv w:val="1"/>
      <w:marLeft w:val="0"/>
      <w:marRight w:val="0"/>
      <w:marTop w:val="0"/>
      <w:marBottom w:val="0"/>
      <w:divBdr>
        <w:top w:val="none" w:sz="0" w:space="0" w:color="auto"/>
        <w:left w:val="none" w:sz="0" w:space="0" w:color="auto"/>
        <w:bottom w:val="none" w:sz="0" w:space="0" w:color="auto"/>
        <w:right w:val="none" w:sz="0" w:space="0" w:color="auto"/>
      </w:divBdr>
    </w:div>
    <w:div w:id="1452822491">
      <w:bodyDiv w:val="1"/>
      <w:marLeft w:val="0"/>
      <w:marRight w:val="0"/>
      <w:marTop w:val="0"/>
      <w:marBottom w:val="0"/>
      <w:divBdr>
        <w:top w:val="none" w:sz="0" w:space="0" w:color="auto"/>
        <w:left w:val="none" w:sz="0" w:space="0" w:color="auto"/>
        <w:bottom w:val="none" w:sz="0" w:space="0" w:color="auto"/>
        <w:right w:val="none" w:sz="0" w:space="0" w:color="auto"/>
      </w:divBdr>
    </w:div>
    <w:div w:id="1464688658">
      <w:bodyDiv w:val="1"/>
      <w:marLeft w:val="0"/>
      <w:marRight w:val="0"/>
      <w:marTop w:val="0"/>
      <w:marBottom w:val="0"/>
      <w:divBdr>
        <w:top w:val="none" w:sz="0" w:space="0" w:color="auto"/>
        <w:left w:val="none" w:sz="0" w:space="0" w:color="auto"/>
        <w:bottom w:val="none" w:sz="0" w:space="0" w:color="auto"/>
        <w:right w:val="none" w:sz="0" w:space="0" w:color="auto"/>
      </w:divBdr>
    </w:div>
    <w:div w:id="1492720902">
      <w:bodyDiv w:val="1"/>
      <w:marLeft w:val="0"/>
      <w:marRight w:val="0"/>
      <w:marTop w:val="0"/>
      <w:marBottom w:val="0"/>
      <w:divBdr>
        <w:top w:val="none" w:sz="0" w:space="0" w:color="auto"/>
        <w:left w:val="none" w:sz="0" w:space="0" w:color="auto"/>
        <w:bottom w:val="none" w:sz="0" w:space="0" w:color="auto"/>
        <w:right w:val="none" w:sz="0" w:space="0" w:color="auto"/>
      </w:divBdr>
    </w:div>
    <w:div w:id="1500854485">
      <w:bodyDiv w:val="1"/>
      <w:marLeft w:val="0"/>
      <w:marRight w:val="0"/>
      <w:marTop w:val="0"/>
      <w:marBottom w:val="0"/>
      <w:divBdr>
        <w:top w:val="none" w:sz="0" w:space="0" w:color="auto"/>
        <w:left w:val="none" w:sz="0" w:space="0" w:color="auto"/>
        <w:bottom w:val="none" w:sz="0" w:space="0" w:color="auto"/>
        <w:right w:val="none" w:sz="0" w:space="0" w:color="auto"/>
      </w:divBdr>
    </w:div>
    <w:div w:id="1541280432">
      <w:bodyDiv w:val="1"/>
      <w:marLeft w:val="0"/>
      <w:marRight w:val="0"/>
      <w:marTop w:val="0"/>
      <w:marBottom w:val="0"/>
      <w:divBdr>
        <w:top w:val="none" w:sz="0" w:space="0" w:color="auto"/>
        <w:left w:val="none" w:sz="0" w:space="0" w:color="auto"/>
        <w:bottom w:val="none" w:sz="0" w:space="0" w:color="auto"/>
        <w:right w:val="none" w:sz="0" w:space="0" w:color="auto"/>
      </w:divBdr>
    </w:div>
    <w:div w:id="1552036553">
      <w:bodyDiv w:val="1"/>
      <w:marLeft w:val="0"/>
      <w:marRight w:val="0"/>
      <w:marTop w:val="0"/>
      <w:marBottom w:val="0"/>
      <w:divBdr>
        <w:top w:val="none" w:sz="0" w:space="0" w:color="auto"/>
        <w:left w:val="none" w:sz="0" w:space="0" w:color="auto"/>
        <w:bottom w:val="none" w:sz="0" w:space="0" w:color="auto"/>
        <w:right w:val="none" w:sz="0" w:space="0" w:color="auto"/>
      </w:divBdr>
    </w:div>
    <w:div w:id="1560089455">
      <w:bodyDiv w:val="1"/>
      <w:marLeft w:val="0"/>
      <w:marRight w:val="0"/>
      <w:marTop w:val="0"/>
      <w:marBottom w:val="0"/>
      <w:divBdr>
        <w:top w:val="none" w:sz="0" w:space="0" w:color="auto"/>
        <w:left w:val="none" w:sz="0" w:space="0" w:color="auto"/>
        <w:bottom w:val="none" w:sz="0" w:space="0" w:color="auto"/>
        <w:right w:val="none" w:sz="0" w:space="0" w:color="auto"/>
      </w:divBdr>
    </w:div>
    <w:div w:id="1568999050">
      <w:bodyDiv w:val="1"/>
      <w:marLeft w:val="0"/>
      <w:marRight w:val="0"/>
      <w:marTop w:val="0"/>
      <w:marBottom w:val="0"/>
      <w:divBdr>
        <w:top w:val="none" w:sz="0" w:space="0" w:color="auto"/>
        <w:left w:val="none" w:sz="0" w:space="0" w:color="auto"/>
        <w:bottom w:val="none" w:sz="0" w:space="0" w:color="auto"/>
        <w:right w:val="none" w:sz="0" w:space="0" w:color="auto"/>
      </w:divBdr>
    </w:div>
    <w:div w:id="1585650492">
      <w:bodyDiv w:val="1"/>
      <w:marLeft w:val="0"/>
      <w:marRight w:val="0"/>
      <w:marTop w:val="0"/>
      <w:marBottom w:val="0"/>
      <w:divBdr>
        <w:top w:val="none" w:sz="0" w:space="0" w:color="auto"/>
        <w:left w:val="none" w:sz="0" w:space="0" w:color="auto"/>
        <w:bottom w:val="none" w:sz="0" w:space="0" w:color="auto"/>
        <w:right w:val="none" w:sz="0" w:space="0" w:color="auto"/>
      </w:divBdr>
    </w:div>
    <w:div w:id="1663120644">
      <w:bodyDiv w:val="1"/>
      <w:marLeft w:val="0"/>
      <w:marRight w:val="0"/>
      <w:marTop w:val="0"/>
      <w:marBottom w:val="0"/>
      <w:divBdr>
        <w:top w:val="none" w:sz="0" w:space="0" w:color="auto"/>
        <w:left w:val="none" w:sz="0" w:space="0" w:color="auto"/>
        <w:bottom w:val="none" w:sz="0" w:space="0" w:color="auto"/>
        <w:right w:val="none" w:sz="0" w:space="0" w:color="auto"/>
      </w:divBdr>
    </w:div>
    <w:div w:id="1730028704">
      <w:bodyDiv w:val="1"/>
      <w:marLeft w:val="0"/>
      <w:marRight w:val="0"/>
      <w:marTop w:val="0"/>
      <w:marBottom w:val="0"/>
      <w:divBdr>
        <w:top w:val="none" w:sz="0" w:space="0" w:color="auto"/>
        <w:left w:val="none" w:sz="0" w:space="0" w:color="auto"/>
        <w:bottom w:val="none" w:sz="0" w:space="0" w:color="auto"/>
        <w:right w:val="none" w:sz="0" w:space="0" w:color="auto"/>
      </w:divBdr>
    </w:div>
    <w:div w:id="1744447105">
      <w:bodyDiv w:val="1"/>
      <w:marLeft w:val="0"/>
      <w:marRight w:val="0"/>
      <w:marTop w:val="0"/>
      <w:marBottom w:val="0"/>
      <w:divBdr>
        <w:top w:val="none" w:sz="0" w:space="0" w:color="auto"/>
        <w:left w:val="none" w:sz="0" w:space="0" w:color="auto"/>
        <w:bottom w:val="none" w:sz="0" w:space="0" w:color="auto"/>
        <w:right w:val="none" w:sz="0" w:space="0" w:color="auto"/>
      </w:divBdr>
    </w:div>
    <w:div w:id="1763641037">
      <w:bodyDiv w:val="1"/>
      <w:marLeft w:val="0"/>
      <w:marRight w:val="0"/>
      <w:marTop w:val="0"/>
      <w:marBottom w:val="0"/>
      <w:divBdr>
        <w:top w:val="none" w:sz="0" w:space="0" w:color="auto"/>
        <w:left w:val="none" w:sz="0" w:space="0" w:color="auto"/>
        <w:bottom w:val="none" w:sz="0" w:space="0" w:color="auto"/>
        <w:right w:val="none" w:sz="0" w:space="0" w:color="auto"/>
      </w:divBdr>
    </w:div>
    <w:div w:id="1778940678">
      <w:bodyDiv w:val="1"/>
      <w:marLeft w:val="0"/>
      <w:marRight w:val="0"/>
      <w:marTop w:val="0"/>
      <w:marBottom w:val="0"/>
      <w:divBdr>
        <w:top w:val="none" w:sz="0" w:space="0" w:color="auto"/>
        <w:left w:val="none" w:sz="0" w:space="0" w:color="auto"/>
        <w:bottom w:val="none" w:sz="0" w:space="0" w:color="auto"/>
        <w:right w:val="none" w:sz="0" w:space="0" w:color="auto"/>
      </w:divBdr>
    </w:div>
    <w:div w:id="1821195739">
      <w:bodyDiv w:val="1"/>
      <w:marLeft w:val="0"/>
      <w:marRight w:val="0"/>
      <w:marTop w:val="0"/>
      <w:marBottom w:val="0"/>
      <w:divBdr>
        <w:top w:val="none" w:sz="0" w:space="0" w:color="auto"/>
        <w:left w:val="none" w:sz="0" w:space="0" w:color="auto"/>
        <w:bottom w:val="none" w:sz="0" w:space="0" w:color="auto"/>
        <w:right w:val="none" w:sz="0" w:space="0" w:color="auto"/>
      </w:divBdr>
    </w:div>
    <w:div w:id="1866288181">
      <w:bodyDiv w:val="1"/>
      <w:marLeft w:val="0"/>
      <w:marRight w:val="0"/>
      <w:marTop w:val="0"/>
      <w:marBottom w:val="0"/>
      <w:divBdr>
        <w:top w:val="none" w:sz="0" w:space="0" w:color="auto"/>
        <w:left w:val="none" w:sz="0" w:space="0" w:color="auto"/>
        <w:bottom w:val="none" w:sz="0" w:space="0" w:color="auto"/>
        <w:right w:val="none" w:sz="0" w:space="0" w:color="auto"/>
      </w:divBdr>
    </w:div>
    <w:div w:id="1871607070">
      <w:bodyDiv w:val="1"/>
      <w:marLeft w:val="0"/>
      <w:marRight w:val="0"/>
      <w:marTop w:val="0"/>
      <w:marBottom w:val="0"/>
      <w:divBdr>
        <w:top w:val="none" w:sz="0" w:space="0" w:color="auto"/>
        <w:left w:val="none" w:sz="0" w:space="0" w:color="auto"/>
        <w:bottom w:val="none" w:sz="0" w:space="0" w:color="auto"/>
        <w:right w:val="none" w:sz="0" w:space="0" w:color="auto"/>
      </w:divBdr>
    </w:div>
    <w:div w:id="1897202800">
      <w:bodyDiv w:val="1"/>
      <w:marLeft w:val="0"/>
      <w:marRight w:val="0"/>
      <w:marTop w:val="0"/>
      <w:marBottom w:val="0"/>
      <w:divBdr>
        <w:top w:val="none" w:sz="0" w:space="0" w:color="auto"/>
        <w:left w:val="none" w:sz="0" w:space="0" w:color="auto"/>
        <w:bottom w:val="none" w:sz="0" w:space="0" w:color="auto"/>
        <w:right w:val="none" w:sz="0" w:space="0" w:color="auto"/>
      </w:divBdr>
    </w:div>
    <w:div w:id="1899127685">
      <w:bodyDiv w:val="1"/>
      <w:marLeft w:val="0"/>
      <w:marRight w:val="0"/>
      <w:marTop w:val="0"/>
      <w:marBottom w:val="0"/>
      <w:divBdr>
        <w:top w:val="none" w:sz="0" w:space="0" w:color="auto"/>
        <w:left w:val="none" w:sz="0" w:space="0" w:color="auto"/>
        <w:bottom w:val="none" w:sz="0" w:space="0" w:color="auto"/>
        <w:right w:val="none" w:sz="0" w:space="0" w:color="auto"/>
      </w:divBdr>
    </w:div>
    <w:div w:id="1969117981">
      <w:bodyDiv w:val="1"/>
      <w:marLeft w:val="0"/>
      <w:marRight w:val="0"/>
      <w:marTop w:val="0"/>
      <w:marBottom w:val="0"/>
      <w:divBdr>
        <w:top w:val="none" w:sz="0" w:space="0" w:color="auto"/>
        <w:left w:val="none" w:sz="0" w:space="0" w:color="auto"/>
        <w:bottom w:val="none" w:sz="0" w:space="0" w:color="auto"/>
        <w:right w:val="none" w:sz="0" w:space="0" w:color="auto"/>
      </w:divBdr>
    </w:div>
    <w:div w:id="2068601748">
      <w:bodyDiv w:val="1"/>
      <w:marLeft w:val="0"/>
      <w:marRight w:val="0"/>
      <w:marTop w:val="0"/>
      <w:marBottom w:val="0"/>
      <w:divBdr>
        <w:top w:val="none" w:sz="0" w:space="0" w:color="auto"/>
        <w:left w:val="none" w:sz="0" w:space="0" w:color="auto"/>
        <w:bottom w:val="none" w:sz="0" w:space="0" w:color="auto"/>
        <w:right w:val="none" w:sz="0" w:space="0" w:color="auto"/>
      </w:divBdr>
    </w:div>
    <w:div w:id="2068918324">
      <w:bodyDiv w:val="1"/>
      <w:marLeft w:val="0"/>
      <w:marRight w:val="0"/>
      <w:marTop w:val="0"/>
      <w:marBottom w:val="0"/>
      <w:divBdr>
        <w:top w:val="none" w:sz="0" w:space="0" w:color="auto"/>
        <w:left w:val="none" w:sz="0" w:space="0" w:color="auto"/>
        <w:bottom w:val="none" w:sz="0" w:space="0" w:color="auto"/>
        <w:right w:val="none" w:sz="0" w:space="0" w:color="auto"/>
      </w:divBdr>
    </w:div>
    <w:div w:id="2070691188">
      <w:bodyDiv w:val="1"/>
      <w:marLeft w:val="0"/>
      <w:marRight w:val="0"/>
      <w:marTop w:val="0"/>
      <w:marBottom w:val="0"/>
      <w:divBdr>
        <w:top w:val="none" w:sz="0" w:space="0" w:color="auto"/>
        <w:left w:val="none" w:sz="0" w:space="0" w:color="auto"/>
        <w:bottom w:val="none" w:sz="0" w:space="0" w:color="auto"/>
        <w:right w:val="none" w:sz="0" w:space="0" w:color="auto"/>
      </w:divBdr>
    </w:div>
    <w:div w:id="2089955185">
      <w:bodyDiv w:val="1"/>
      <w:marLeft w:val="0"/>
      <w:marRight w:val="0"/>
      <w:marTop w:val="0"/>
      <w:marBottom w:val="0"/>
      <w:divBdr>
        <w:top w:val="none" w:sz="0" w:space="0" w:color="auto"/>
        <w:left w:val="none" w:sz="0" w:space="0" w:color="auto"/>
        <w:bottom w:val="none" w:sz="0" w:space="0" w:color="auto"/>
        <w:right w:val="none" w:sz="0" w:space="0" w:color="auto"/>
      </w:divBdr>
      <w:divsChild>
        <w:div w:id="1593121548">
          <w:marLeft w:val="0"/>
          <w:marRight w:val="0"/>
          <w:marTop w:val="0"/>
          <w:marBottom w:val="0"/>
          <w:divBdr>
            <w:top w:val="single" w:sz="2" w:space="0" w:color="auto"/>
            <w:left w:val="single" w:sz="2" w:space="0" w:color="auto"/>
            <w:bottom w:val="single" w:sz="6" w:space="0" w:color="auto"/>
            <w:right w:val="single" w:sz="2" w:space="0" w:color="auto"/>
          </w:divBdr>
          <w:divsChild>
            <w:div w:id="1657999797">
              <w:marLeft w:val="0"/>
              <w:marRight w:val="0"/>
              <w:marTop w:val="0"/>
              <w:marBottom w:val="0"/>
              <w:divBdr>
                <w:top w:val="single" w:sz="2" w:space="0" w:color="auto"/>
                <w:left w:val="single" w:sz="2" w:space="0" w:color="auto"/>
                <w:bottom w:val="single" w:sz="2" w:space="0" w:color="auto"/>
                <w:right w:val="single" w:sz="2" w:space="0" w:color="auto"/>
              </w:divBdr>
              <w:divsChild>
                <w:div w:id="1118179499">
                  <w:marLeft w:val="0"/>
                  <w:marRight w:val="0"/>
                  <w:marTop w:val="0"/>
                  <w:marBottom w:val="0"/>
                  <w:divBdr>
                    <w:top w:val="single" w:sz="2" w:space="0" w:color="auto"/>
                    <w:left w:val="single" w:sz="2" w:space="0" w:color="auto"/>
                    <w:bottom w:val="single" w:sz="2" w:space="0" w:color="auto"/>
                    <w:right w:val="single" w:sz="2" w:space="0" w:color="auto"/>
                  </w:divBdr>
                </w:div>
                <w:div w:id="1795057931">
                  <w:marLeft w:val="0"/>
                  <w:marRight w:val="0"/>
                  <w:marTop w:val="0"/>
                  <w:marBottom w:val="0"/>
                  <w:divBdr>
                    <w:top w:val="single" w:sz="2" w:space="0" w:color="auto"/>
                    <w:left w:val="single" w:sz="2" w:space="0" w:color="auto"/>
                    <w:bottom w:val="single" w:sz="2" w:space="0" w:color="auto"/>
                    <w:right w:val="single" w:sz="2" w:space="0" w:color="auto"/>
                  </w:divBdr>
                  <w:divsChild>
                    <w:div w:id="149043795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099666020">
      <w:bodyDiv w:val="1"/>
      <w:marLeft w:val="0"/>
      <w:marRight w:val="0"/>
      <w:marTop w:val="0"/>
      <w:marBottom w:val="0"/>
      <w:divBdr>
        <w:top w:val="none" w:sz="0" w:space="0" w:color="auto"/>
        <w:left w:val="none" w:sz="0" w:space="0" w:color="auto"/>
        <w:bottom w:val="none" w:sz="0" w:space="0" w:color="auto"/>
        <w:right w:val="none" w:sz="0" w:space="0" w:color="auto"/>
      </w:divBdr>
    </w:div>
    <w:div w:id="2126146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198</TotalTime>
  <Pages>75</Pages>
  <Words>23286</Words>
  <Characters>125746</Characters>
  <Application>Microsoft Office Word</Application>
  <DocSecurity>0</DocSecurity>
  <Lines>1047</Lines>
  <Paragraphs>297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Bacha</dc:creator>
  <cp:keywords/>
  <dc:description/>
  <cp:lastModifiedBy>Renato Bacha</cp:lastModifiedBy>
  <cp:revision>52</cp:revision>
  <dcterms:created xsi:type="dcterms:W3CDTF">2021-10-04T09:33:00Z</dcterms:created>
  <dcterms:modified xsi:type="dcterms:W3CDTF">2021-10-05T17:51:00Z</dcterms:modified>
</cp:coreProperties>
</file>